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2640"/>
        <w:gridCol w:w="1098"/>
        <w:gridCol w:w="1282"/>
        <w:gridCol w:w="2453"/>
      </w:tblGrid>
      <w:tr w:rsidR="00F356C4" w:rsidRPr="00F356C4" w14:paraId="5526BCC7" w14:textId="77777777" w:rsidTr="003921EE">
        <w:trPr>
          <w:trHeight w:val="284"/>
        </w:trPr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3F1C2A7D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 azione</w:t>
            </w:r>
          </w:p>
          <w:p w14:paraId="3696CD36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524B62E3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Codice del SIC/ZPS</w:t>
            </w:r>
          </w:p>
        </w:tc>
        <w:tc>
          <w:tcPr>
            <w:tcW w:w="2510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6D9F1"/>
            <w:vAlign w:val="center"/>
          </w:tcPr>
          <w:p w14:paraId="311D893D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F356C4" w:rsidRPr="00F356C4" w14:paraId="7748AE11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A251368" w14:textId="77777777" w:rsidR="00F356C4" w:rsidRPr="00F356C4" w:rsidRDefault="00F356C4" w:rsidP="00F356C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B6652F4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Nome del SIC/ZPS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6D9F1"/>
            <w:vAlign w:val="center"/>
          </w:tcPr>
          <w:p w14:paraId="6F8909C5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F356C4" w:rsidRPr="00F356C4" w14:paraId="031B5019" w14:textId="77777777" w:rsidTr="003921EE">
        <w:trPr>
          <w:trHeight w:val="284"/>
        </w:trPr>
        <w:tc>
          <w:tcPr>
            <w:tcW w:w="1119" w:type="pct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A4ACAC5" w14:textId="77777777" w:rsidR="00F356C4" w:rsidRPr="00F356C4" w:rsidRDefault="00F356C4" w:rsidP="00F356C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6251C680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38FBA8" w14:textId="4DBC483F" w:rsidR="00F356C4" w:rsidRPr="00F356C4" w:rsidRDefault="00B84B6F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B84B6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Redazione del piano di regolamentazione del traffico e PUMS - Piano Urbano della Mobilità Sostenibile</w:t>
            </w:r>
          </w:p>
        </w:tc>
      </w:tr>
      <w:tr w:rsidR="00F356C4" w:rsidRPr="00F356C4" w14:paraId="03233451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9DC907F" w14:textId="77777777" w:rsidR="00F356C4" w:rsidRPr="00F356C4" w:rsidRDefault="00F356C4" w:rsidP="00F356C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A02192" w14:textId="77777777" w:rsidR="00F356C4" w:rsidRPr="00F356C4" w:rsidRDefault="00F356C4" w:rsidP="00F356C4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7334A8D1" w14:textId="77777777" w:rsidR="00F356C4" w:rsidRPr="00F356C4" w:rsidRDefault="00F356C4" w:rsidP="00F356C4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3E68" w14:textId="77777777" w:rsidR="00F356C4" w:rsidRPr="00F356C4" w:rsidRDefault="00F356C4" w:rsidP="00F356C4">
            <w:pPr>
              <w:tabs>
                <w:tab w:val="left" w:pos="272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368FE596" w14:textId="77777777" w:rsidR="00F356C4" w:rsidRPr="00F356C4" w:rsidRDefault="00F356C4" w:rsidP="00F356C4">
            <w:pPr>
              <w:tabs>
                <w:tab w:val="left" w:pos="272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7821C" w14:textId="77777777" w:rsidR="00F356C4" w:rsidRPr="00F356C4" w:rsidRDefault="00F356C4" w:rsidP="00F356C4">
            <w:pPr>
              <w:tabs>
                <w:tab w:val="left" w:pos="272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22F7451D" w14:textId="77777777" w:rsidR="00F356C4" w:rsidRPr="00F356C4" w:rsidRDefault="00F356C4" w:rsidP="00F356C4">
            <w:pPr>
              <w:tabs>
                <w:tab w:val="left" w:pos="272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F356C4" w:rsidRPr="00F356C4" w14:paraId="17D3AC64" w14:textId="77777777" w:rsidTr="003921EE">
        <w:trPr>
          <w:trHeight w:val="284"/>
        </w:trPr>
        <w:tc>
          <w:tcPr>
            <w:tcW w:w="111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9AC58A" w14:textId="77777777" w:rsidR="00F356C4" w:rsidRPr="003C4113" w:rsidRDefault="00F356C4" w:rsidP="00F356C4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92F3A" w14:textId="77777777" w:rsidR="00F356C4" w:rsidRPr="003C4113" w:rsidRDefault="00F356C4" w:rsidP="00F356C4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3C4113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(IA)</w:t>
            </w:r>
          </w:p>
          <w:p w14:paraId="63B5AACC" w14:textId="77777777" w:rsidR="00F356C4" w:rsidRPr="003C4113" w:rsidRDefault="00F356C4" w:rsidP="00F356C4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3C4113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(RE)</w:t>
            </w:r>
          </w:p>
          <w:p w14:paraId="4B662F12" w14:textId="77777777" w:rsidR="00F356C4" w:rsidRPr="003C4113" w:rsidRDefault="00F356C4" w:rsidP="00F356C4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3C4113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(IN)</w:t>
            </w:r>
          </w:p>
          <w:p w14:paraId="2A28B303" w14:textId="77777777" w:rsidR="00F356C4" w:rsidRPr="003C4113" w:rsidRDefault="00F356C4" w:rsidP="00F356C4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3C4113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(MR)</w:t>
            </w:r>
          </w:p>
          <w:p w14:paraId="76683C06" w14:textId="77777777" w:rsidR="00F356C4" w:rsidRPr="003C4113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C411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3C4113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(PD)</w:t>
            </w:r>
          </w:p>
        </w:tc>
      </w:tr>
      <w:tr w:rsidR="00F356C4" w:rsidRPr="00F356C4" w14:paraId="5F376163" w14:textId="77777777" w:rsidTr="003921EE">
        <w:trPr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E8935B2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DDBE6F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DFA12F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F356C4" w:rsidRPr="00F356C4" w14:paraId="70CA7703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AA00095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434A5E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C99E4B" w14:textId="2A671F07" w:rsidR="00F356C4" w:rsidRPr="00F356C4" w:rsidRDefault="00B84B6F" w:rsidP="003C411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Emberiza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hortulana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Rhinolophus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hipposideros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Rhinolophus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ferrumequinum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Miniopterus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schreibersii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Barbastella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barbastellus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Canis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lupus,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Caprimulgus</w:t>
            </w:r>
            <w:proofErr w:type="spellEnd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B84B6F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europaeus</w:t>
            </w:r>
            <w:proofErr w:type="spellEnd"/>
          </w:p>
        </w:tc>
      </w:tr>
      <w:tr w:rsidR="00F356C4" w:rsidRPr="00F356C4" w14:paraId="51DA5C7A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244B124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04C8014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PE01</w:t>
            </w:r>
          </w:p>
        </w:tc>
      </w:tr>
      <w:tr w:rsidR="00F356C4" w:rsidRPr="00F356C4" w14:paraId="3096C659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11A8CA9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2930F27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  <w:p w14:paraId="4EB92A40" w14:textId="16718C25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  <w:r w:rsidR="0080797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/siti</w:t>
            </w:r>
          </w:p>
        </w:tc>
      </w:tr>
      <w:tr w:rsidR="00F356C4" w:rsidRPr="00F356C4" w14:paraId="2B42FB4F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4409CB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3872D6" w14:textId="256DA452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rete stradale costituisce una pressione per tutte le specie target, soprattutto a causa delle collisioni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ma anche in termini di impatto acustico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 strada provinciale del Conero e la viabilità per raggiungere la località di Portonovo in primavera/estate risultano particolarmente utilizzate 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per il raggiungimento delle località balneari da macchine e 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moto.</w:t>
            </w:r>
          </w:p>
          <w:p w14:paraId="049A372A" w14:textId="507A74E9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Per i chirotteri, il rischio di collisione è riconosciuto a livello bibliografico</w:t>
            </w:r>
            <w:r w:rsidR="0080797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anche se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non si possiedono dati che dimostrino la pressione nell’abito </w:t>
            </w:r>
            <w:r w:rsidR="0080797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dei siti 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Natura 2000</w:t>
            </w:r>
            <w:r w:rsidR="0080797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del Conero,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ma non si può escludere considerando la 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diffi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coltà di monitoraggio del fenomeno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 Nel caso del lupo</w:t>
            </w:r>
            <w:r w:rsidR="003C411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si è a conoscenza di singoli episodi di investimento </w:t>
            </w:r>
            <w:r w:rsidRPr="00F356C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non registrati con sistematicità.</w:t>
            </w:r>
          </w:p>
        </w:tc>
      </w:tr>
      <w:tr w:rsidR="00F356C4" w:rsidRPr="00F356C4" w14:paraId="6CCD9087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AFD041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D51D30" w14:textId="663745DC" w:rsidR="00F356C4" w:rsidRPr="00F356C4" w:rsidRDefault="002D6342" w:rsidP="002D6342">
            <w:pPr>
              <w:tabs>
                <w:tab w:val="left" w:pos="1256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della misura</w:t>
            </w:r>
          </w:p>
        </w:tc>
      </w:tr>
      <w:tr w:rsidR="00F356C4" w:rsidRPr="00F356C4" w14:paraId="77A5EED8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2E7FEF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EB517" w14:textId="1E3785BF" w:rsidR="00F356C4" w:rsidRPr="00F356C4" w:rsidRDefault="002D6342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Contenimento dell’impatto della rete viaria sulle specie target</w:t>
            </w:r>
          </w:p>
        </w:tc>
      </w:tr>
      <w:tr w:rsidR="00F356C4" w:rsidRPr="00F356C4" w14:paraId="7F45E3F6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8DD37" w14:textId="77777777" w:rsidR="00F356C4" w:rsidRPr="00F356C4" w:rsidRDefault="00F356C4" w:rsidP="00F35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388B53" w14:textId="61D1253A" w:rsidR="00F356C4" w:rsidRPr="00F356C4" w:rsidRDefault="00B84B6F" w:rsidP="00B84B6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L'azione consiste nella redazione </w:t>
            </w:r>
            <w:r w:rsidR="00C80BE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 </w:t>
            </w:r>
            <w:r w:rsidR="00DC10D1"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PUMS - Piano Urbano della Mobilità Sostenibile</w:t>
            </w:r>
            <w:r w:rsidR="00DC10D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</w:t>
            </w:r>
            <w:r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DC10D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 </w:t>
            </w:r>
            <w:r w:rsidR="00DC10D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piani attuativi e di settore da essi discendenti, per i comuni di Ancona e Sirolo</w:t>
            </w:r>
            <w:r w:rsidR="00B06E0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BF1EB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 il</w:t>
            </w:r>
            <w:r w:rsidR="00B06E0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piano del Trasporto Pubblico Extraurbano (Regione Marche)</w:t>
            </w:r>
            <w:r w:rsidR="00DC10D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espressamente finalizzati a perseguire obiettivi di coerenza tra le esigenze di efficienza trasportistica e di mobilità nell'area e le necessità di tutela delle specie sensibili attraverso il contenimento della pressione e degli impatti sulla fauna causati dal traffico veicolare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F356C4" w:rsidRPr="00F356C4" w14:paraId="0C41214D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475B64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9CB18" w14:textId="5A514C47" w:rsidR="00F356C4" w:rsidRPr="00F356C4" w:rsidRDefault="002D6342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D634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 o miglioramento dello stato di conservazione delle specie target</w:t>
            </w:r>
          </w:p>
        </w:tc>
      </w:tr>
      <w:tr w:rsidR="00F356C4" w:rsidRPr="00F356C4" w14:paraId="4357EF65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A748AF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C46E0" w14:textId="01AA8903" w:rsidR="00F356C4" w:rsidRPr="00F356C4" w:rsidRDefault="00B84B6F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84B6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Operatori economici e residenti gravitanti nel territorio</w:t>
            </w:r>
          </w:p>
        </w:tc>
      </w:tr>
      <w:tr w:rsidR="00F356C4" w:rsidRPr="00F356C4" w14:paraId="35292DB2" w14:textId="77777777" w:rsidTr="003921EE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87BE60" w14:textId="77777777" w:rsidR="00F356C4" w:rsidRPr="00C80BEA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9F23B2" w14:textId="7952D9C8" w:rsidR="00F356C4" w:rsidRPr="00C80BEA" w:rsidRDefault="003C4113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Comune di Ancona e Comune di Sirolo</w:t>
            </w:r>
            <w:r w:rsidR="00B06E0A" w:rsidRPr="00C80BE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Ente gestore, Regione Marche, Provincia di Ancona.</w:t>
            </w:r>
          </w:p>
        </w:tc>
      </w:tr>
      <w:tr w:rsidR="00F356C4" w:rsidRPr="00F356C4" w14:paraId="1D751C57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7CACAD4" w14:textId="77777777" w:rsidR="00F356C4" w:rsidRPr="00C80BEA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D3CD3C" w14:textId="77777777" w:rsidR="00F356C4" w:rsidRPr="00C80BEA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F356C4" w:rsidRPr="00F356C4" w14:paraId="2CBD7941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CCE928" w14:textId="77777777" w:rsidR="00F356C4" w:rsidRPr="00C80BEA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197C2C" w14:textId="7A79C7F0" w:rsidR="00F356C4" w:rsidRPr="00C80BEA" w:rsidRDefault="003C4113" w:rsidP="00F356C4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hAnsi="Arial" w:cs="Arial"/>
                <w:sz w:val="18"/>
                <w:szCs w:val="18"/>
              </w:rPr>
              <w:t xml:space="preserve">Da avviare entro 5 anni Costo: </w:t>
            </w:r>
            <w:r w:rsidR="00B06E0A" w:rsidRPr="00C80BEA">
              <w:rPr>
                <w:rFonts w:ascii="Arial" w:hAnsi="Arial" w:cs="Arial"/>
                <w:sz w:val="18"/>
                <w:szCs w:val="18"/>
              </w:rPr>
              <w:t>25</w:t>
            </w:r>
            <w:r w:rsidR="00F75AA0" w:rsidRPr="00C80BEA">
              <w:rPr>
                <w:rFonts w:ascii="Arial" w:hAnsi="Arial" w:cs="Arial"/>
                <w:sz w:val="18"/>
                <w:szCs w:val="18"/>
              </w:rPr>
              <w:t>0</w:t>
            </w:r>
            <w:r w:rsidRPr="00C80BEA">
              <w:rPr>
                <w:rFonts w:ascii="Arial" w:hAnsi="Arial" w:cs="Arial"/>
                <w:sz w:val="18"/>
                <w:szCs w:val="18"/>
              </w:rPr>
              <w:t>.000 €</w:t>
            </w:r>
          </w:p>
        </w:tc>
      </w:tr>
      <w:tr w:rsidR="00F356C4" w:rsidRPr="00F356C4" w14:paraId="0FE76C5B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E18136" w14:textId="77777777" w:rsidR="00F356C4" w:rsidRPr="00C80BEA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26E337" w14:textId="2CF82CD0" w:rsidR="00F356C4" w:rsidRPr="00C80BEA" w:rsidRDefault="00B06E0A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BE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Bilanci comunali, eventualmente PAF.</w:t>
            </w:r>
          </w:p>
        </w:tc>
      </w:tr>
      <w:tr w:rsidR="00F356C4" w:rsidRPr="00F356C4" w14:paraId="2F3CF86E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349B74" w14:textId="77777777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56C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3C740D" w14:textId="663CB1E8" w:rsidR="00F356C4" w:rsidRPr="00F356C4" w:rsidRDefault="00F356C4" w:rsidP="00F356C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658096BF" w14:textId="77777777" w:rsidR="002764C6" w:rsidRDefault="002764C6"/>
    <w:p w14:paraId="17B270A1" w14:textId="77777777" w:rsidR="00292D62" w:rsidRDefault="00292D62"/>
    <w:sectPr w:rsidR="00292D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0"/>
  </w:num>
  <w:num w:numId="2" w16cid:durableId="167106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22"/>
    <w:rsid w:val="002764C6"/>
    <w:rsid w:val="00292D62"/>
    <w:rsid w:val="002D6342"/>
    <w:rsid w:val="003C4113"/>
    <w:rsid w:val="00481AA1"/>
    <w:rsid w:val="00726991"/>
    <w:rsid w:val="00807973"/>
    <w:rsid w:val="00886A37"/>
    <w:rsid w:val="008D5E8B"/>
    <w:rsid w:val="00A47DFC"/>
    <w:rsid w:val="00B06E0A"/>
    <w:rsid w:val="00B16E22"/>
    <w:rsid w:val="00B16EF6"/>
    <w:rsid w:val="00B84B6F"/>
    <w:rsid w:val="00BF1EB4"/>
    <w:rsid w:val="00C80BEA"/>
    <w:rsid w:val="00DC10D1"/>
    <w:rsid w:val="00E111F5"/>
    <w:rsid w:val="00F356C4"/>
    <w:rsid w:val="00F7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6B0E4"/>
  <w15:chartTrackingRefBased/>
  <w15:docId w15:val="{944C5DFB-D712-44D4-9B4B-1C2AFDE5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6E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6E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6E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6E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6E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6E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6E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6E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16E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6E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6E2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6E2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6E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6E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6E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6E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6E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6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6E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6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6E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6E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6E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16E2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6E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6E2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6E22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807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5</cp:revision>
  <dcterms:created xsi:type="dcterms:W3CDTF">2024-03-22T11:39:00Z</dcterms:created>
  <dcterms:modified xsi:type="dcterms:W3CDTF">2024-07-25T13:44:00Z</dcterms:modified>
</cp:coreProperties>
</file>