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89"/>
        <w:gridCol w:w="2365"/>
        <w:gridCol w:w="850"/>
        <w:gridCol w:w="1276"/>
        <w:gridCol w:w="2542"/>
      </w:tblGrid>
      <w:tr w:rsidR="0097407C" w:rsidRPr="00DC022D" w14:paraId="192E6CF2" w14:textId="77777777" w:rsidTr="0097407C">
        <w:trPr>
          <w:cantSplit/>
          <w:trHeight w:val="284"/>
        </w:trPr>
        <w:tc>
          <w:tcPr>
            <w:tcW w:w="258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2BF645D4" w14:textId="77777777" w:rsidR="0097407C" w:rsidRPr="00DC022D" w:rsidRDefault="0097407C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Scheda</w:t>
            </w:r>
          </w:p>
          <w:p w14:paraId="21E19BED" w14:textId="77777777" w:rsidR="0097407C" w:rsidRPr="00DC022D" w:rsidRDefault="0097407C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2798A1" w14:textId="77777777" w:rsidR="0097407C" w:rsidRPr="00DC022D" w:rsidRDefault="0097407C" w:rsidP="003921EE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Codice del ZSC/ZPS</w:t>
            </w:r>
          </w:p>
        </w:tc>
        <w:tc>
          <w:tcPr>
            <w:tcW w:w="46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751747E7" w14:textId="1BFA3764" w:rsidR="0097407C" w:rsidRPr="00DC022D" w:rsidRDefault="0097407C" w:rsidP="003921EE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97407C" w:rsidRPr="00DC022D" w14:paraId="4F87223B" w14:textId="77777777" w:rsidTr="0097407C">
        <w:trPr>
          <w:cantSplit/>
          <w:trHeight w:val="284"/>
        </w:trPr>
        <w:tc>
          <w:tcPr>
            <w:tcW w:w="258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2516357D" w14:textId="77777777" w:rsidR="0097407C" w:rsidRPr="00DC022D" w:rsidRDefault="0097407C" w:rsidP="003921EE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0ED161" w14:textId="77777777" w:rsidR="0097407C" w:rsidRPr="00DC022D" w:rsidRDefault="0097407C" w:rsidP="003921EE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Nome del ZSC/ZPS</w:t>
            </w:r>
          </w:p>
        </w:tc>
        <w:tc>
          <w:tcPr>
            <w:tcW w:w="46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33834F54" w14:textId="692BAD6D" w:rsidR="0097407C" w:rsidRPr="00DC022D" w:rsidRDefault="0097407C" w:rsidP="003921EE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97407C" w:rsidRPr="00DC022D" w14:paraId="2A552A75" w14:textId="77777777" w:rsidTr="0097407C">
        <w:trPr>
          <w:cantSplit/>
          <w:trHeight w:val="284"/>
        </w:trPr>
        <w:tc>
          <w:tcPr>
            <w:tcW w:w="2589" w:type="dxa"/>
            <w:vMerge w:val="restart"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0E390DAC" w14:textId="77777777" w:rsidR="0097407C" w:rsidRPr="00DC022D" w:rsidRDefault="0097407C" w:rsidP="0097407C">
            <w:pPr>
              <w:pStyle w:val="Paragrafoelenco"/>
              <w:widowControl w:val="0"/>
              <w:suppressAutoHyphens/>
              <w:snapToGrid w:val="0"/>
              <w:spacing w:after="0" w:line="240" w:lineRule="auto"/>
              <w:ind w:left="0" w:firstLine="0"/>
              <w:rPr>
                <w:rFonts w:cs="Arial"/>
                <w:b/>
                <w:i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CE49F7" w14:textId="77777777" w:rsidR="0097407C" w:rsidRPr="00DC022D" w:rsidRDefault="0097407C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Titolo dell’azione</w:t>
            </w:r>
          </w:p>
        </w:tc>
        <w:tc>
          <w:tcPr>
            <w:tcW w:w="46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F85156" w14:textId="79E5980F" w:rsidR="0097407C" w:rsidRPr="0097407C" w:rsidRDefault="0097407C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7407C">
              <w:rPr>
                <w:rFonts w:cs="Arial"/>
                <w:b/>
                <w:bCs/>
                <w:sz w:val="18"/>
                <w:szCs w:val="18"/>
              </w:rPr>
              <w:t>Regolamentazione degli acces</w:t>
            </w:r>
            <w:r w:rsidR="008670A9">
              <w:rPr>
                <w:rFonts w:cs="Arial"/>
                <w:b/>
                <w:bCs/>
                <w:sz w:val="18"/>
                <w:szCs w:val="18"/>
              </w:rPr>
              <w:t>s</w:t>
            </w:r>
            <w:r>
              <w:rPr>
                <w:rFonts w:cs="Arial"/>
                <w:b/>
                <w:bCs/>
                <w:sz w:val="18"/>
                <w:szCs w:val="18"/>
              </w:rPr>
              <w:t>i</w:t>
            </w:r>
            <w:r w:rsidRPr="0097407C">
              <w:rPr>
                <w:rFonts w:cs="Arial"/>
                <w:b/>
                <w:bCs/>
                <w:sz w:val="18"/>
                <w:szCs w:val="18"/>
              </w:rPr>
              <w:t xml:space="preserve"> alle grotte e cavità</w:t>
            </w:r>
          </w:p>
        </w:tc>
      </w:tr>
      <w:tr w:rsidR="0097407C" w:rsidRPr="00DC022D" w14:paraId="0F3F305E" w14:textId="77777777" w:rsidTr="0097407C">
        <w:trPr>
          <w:cantSplit/>
          <w:trHeight w:val="284"/>
        </w:trPr>
        <w:tc>
          <w:tcPr>
            <w:tcW w:w="2589" w:type="dxa"/>
            <w:vMerge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204A98A8" w14:textId="77777777" w:rsidR="0097407C" w:rsidRPr="00DC022D" w:rsidRDefault="0097407C" w:rsidP="003921EE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CF29D0" w14:textId="77777777" w:rsidR="0097407C" w:rsidRPr="00DC022D" w:rsidRDefault="0097407C" w:rsidP="003921EE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X</w:t>
            </w:r>
            <w:r w:rsidRPr="00DC022D">
              <w:rPr>
                <w:rFonts w:cs="Arial"/>
                <w:sz w:val="18"/>
                <w:szCs w:val="18"/>
              </w:rPr>
              <w:tab/>
              <w:t>Azione ordinaria</w:t>
            </w:r>
          </w:p>
          <w:p w14:paraId="6E840706" w14:textId="26619A02" w:rsidR="0097407C" w:rsidRPr="00DC022D" w:rsidRDefault="00860E7A" w:rsidP="003921EE">
            <w:pPr>
              <w:tabs>
                <w:tab w:val="left" w:pos="355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>
              <w:rPr>
                <w:rFonts w:eastAsia="Wingdings" w:cs="Arial"/>
                <w:sz w:val="18"/>
                <w:szCs w:val="18"/>
              </w:rPr>
              <w:t xml:space="preserve">X </w:t>
            </w:r>
            <w:r w:rsidR="0097407C" w:rsidRPr="00DC022D">
              <w:rPr>
                <w:rFonts w:cs="Arial"/>
                <w:sz w:val="18"/>
                <w:szCs w:val="18"/>
              </w:rPr>
              <w:tab/>
              <w:t>Azione straordinaria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0E51B0" w14:textId="3E22EBC1" w:rsidR="0097407C" w:rsidRPr="00DC022D" w:rsidRDefault="00860E7A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</w:t>
            </w:r>
            <w:r w:rsidR="0097407C" w:rsidRPr="00DC022D">
              <w:rPr>
                <w:rFonts w:cs="Arial"/>
                <w:sz w:val="18"/>
                <w:szCs w:val="18"/>
              </w:rPr>
              <w:tab/>
              <w:t>Azione generale</w:t>
            </w:r>
          </w:p>
          <w:p w14:paraId="7260A4FA" w14:textId="30AA34FE" w:rsidR="0097407C" w:rsidRPr="00DC022D" w:rsidRDefault="00860E7A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>
              <w:rPr>
                <w:rFonts w:eastAsia="Wingdings" w:cs="Arial"/>
                <w:sz w:val="18"/>
                <w:szCs w:val="18"/>
              </w:rPr>
              <w:t xml:space="preserve">X </w:t>
            </w:r>
            <w:r w:rsidR="0097407C" w:rsidRPr="00DC022D">
              <w:rPr>
                <w:rFonts w:cs="Arial"/>
                <w:sz w:val="18"/>
                <w:szCs w:val="18"/>
              </w:rPr>
              <w:tab/>
              <w:t>Azione localizzata</w:t>
            </w:r>
          </w:p>
        </w:tc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A5F513" w14:textId="2D3A36FD" w:rsidR="0097407C" w:rsidRPr="00DC022D" w:rsidRDefault="00860E7A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>
              <w:rPr>
                <w:rFonts w:eastAsia="Wingdings" w:cs="Arial"/>
                <w:sz w:val="18"/>
                <w:szCs w:val="18"/>
              </w:rPr>
              <w:t xml:space="preserve">X </w:t>
            </w:r>
            <w:r w:rsidR="0097407C" w:rsidRPr="00DC022D">
              <w:rPr>
                <w:rFonts w:cs="Arial"/>
                <w:sz w:val="18"/>
                <w:szCs w:val="18"/>
              </w:rPr>
              <w:tab/>
              <w:t>Azione materiale</w:t>
            </w:r>
          </w:p>
          <w:p w14:paraId="79B77CE4" w14:textId="77777777" w:rsidR="0097407C" w:rsidRPr="00DC022D" w:rsidRDefault="0097407C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X</w:t>
            </w:r>
            <w:r w:rsidRPr="00DC022D">
              <w:rPr>
                <w:rFonts w:cs="Arial"/>
                <w:sz w:val="18"/>
                <w:szCs w:val="18"/>
              </w:rPr>
              <w:tab/>
              <w:t>Azione immateriale</w:t>
            </w:r>
          </w:p>
        </w:tc>
      </w:tr>
      <w:tr w:rsidR="0097407C" w:rsidRPr="00DC022D" w14:paraId="5A23A2B1" w14:textId="77777777" w:rsidTr="003921EE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62F36A2" w14:textId="77777777" w:rsidR="0097407C" w:rsidRPr="00DC022D" w:rsidRDefault="0097407C" w:rsidP="003921EE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Tipo azione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4F85F8" w14:textId="77777777" w:rsidR="0097407C" w:rsidRPr="007608F4" w:rsidRDefault="0097407C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</w:t>
            </w:r>
            <w:r w:rsidRPr="00DC022D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7608F4">
              <w:rPr>
                <w:rFonts w:cs="Arial"/>
                <w:sz w:val="18"/>
                <w:szCs w:val="18"/>
              </w:rPr>
              <w:t>intervento attivo (</w:t>
            </w:r>
            <w:r w:rsidRPr="007608F4">
              <w:rPr>
                <w:rFonts w:cs="Arial"/>
                <w:b/>
                <w:sz w:val="18"/>
                <w:szCs w:val="18"/>
              </w:rPr>
              <w:t>IA)</w:t>
            </w:r>
          </w:p>
          <w:p w14:paraId="71D35FDF" w14:textId="77777777" w:rsidR="0097407C" w:rsidRPr="007608F4" w:rsidRDefault="0097407C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7608F4">
              <w:rPr>
                <w:rFonts w:eastAsia="Wingdings" w:cs="Arial"/>
                <w:sz w:val="18"/>
                <w:szCs w:val="18"/>
              </w:rPr>
              <w:t>X</w:t>
            </w:r>
            <w:r w:rsidRPr="007608F4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7608F4">
              <w:rPr>
                <w:rFonts w:cs="Arial"/>
                <w:sz w:val="18"/>
                <w:szCs w:val="18"/>
              </w:rPr>
              <w:t>regolamentazione (</w:t>
            </w:r>
            <w:r w:rsidRPr="007608F4">
              <w:rPr>
                <w:rFonts w:cs="Arial"/>
                <w:b/>
                <w:sz w:val="18"/>
                <w:szCs w:val="18"/>
              </w:rPr>
              <w:t>RE)</w:t>
            </w:r>
          </w:p>
          <w:p w14:paraId="5511D39D" w14:textId="2198A227" w:rsidR="0097407C" w:rsidRPr="00DC022D" w:rsidRDefault="007608F4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7608F4">
              <w:rPr>
                <w:rFonts w:eastAsia="Wingdings" w:cs="Arial"/>
                <w:sz w:val="18"/>
                <w:szCs w:val="18"/>
              </w:rPr>
              <w:t></w:t>
            </w:r>
            <w:r w:rsidR="0097407C" w:rsidRPr="007608F4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="0097407C" w:rsidRPr="007608F4">
              <w:rPr>
                <w:rFonts w:cs="Arial"/>
                <w:sz w:val="18"/>
                <w:szCs w:val="18"/>
              </w:rPr>
              <w:t>incentivazione (</w:t>
            </w:r>
            <w:r w:rsidR="0097407C" w:rsidRPr="007608F4">
              <w:rPr>
                <w:rFonts w:cs="Arial"/>
                <w:b/>
                <w:sz w:val="18"/>
                <w:szCs w:val="18"/>
              </w:rPr>
              <w:t>IN)</w:t>
            </w:r>
          </w:p>
          <w:p w14:paraId="27F01391" w14:textId="77777777" w:rsidR="0097407C" w:rsidRPr="00DC022D" w:rsidRDefault="0097407C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</w:t>
            </w:r>
            <w:r w:rsidRPr="00DC022D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DC022D">
              <w:rPr>
                <w:rFonts w:cs="Arial"/>
                <w:sz w:val="18"/>
                <w:szCs w:val="18"/>
              </w:rPr>
              <w:t>programma di monitoraggio e/o ricerca (</w:t>
            </w:r>
            <w:r w:rsidRPr="00DC022D">
              <w:rPr>
                <w:rFonts w:cs="Arial"/>
                <w:b/>
                <w:sz w:val="18"/>
                <w:szCs w:val="18"/>
              </w:rPr>
              <w:t>MR)</w:t>
            </w:r>
          </w:p>
          <w:p w14:paraId="402B59DF" w14:textId="77777777" w:rsidR="0097407C" w:rsidRPr="00DC022D" w:rsidRDefault="0097407C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</w:t>
            </w:r>
            <w:r w:rsidRPr="00DC022D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DC022D">
              <w:rPr>
                <w:rFonts w:cs="Arial"/>
                <w:sz w:val="18"/>
                <w:szCs w:val="18"/>
              </w:rPr>
              <w:t>programma di educazione e di informazione (</w:t>
            </w:r>
            <w:r w:rsidRPr="00DC022D">
              <w:rPr>
                <w:rFonts w:cs="Arial"/>
                <w:b/>
                <w:sz w:val="18"/>
                <w:szCs w:val="18"/>
              </w:rPr>
              <w:t>PD)</w:t>
            </w:r>
          </w:p>
        </w:tc>
      </w:tr>
      <w:tr w:rsidR="0097407C" w:rsidRPr="00DC022D" w14:paraId="30AEE538" w14:textId="77777777" w:rsidTr="0097407C">
        <w:trPr>
          <w:cantSplit/>
          <w:trHeight w:val="284"/>
        </w:trPr>
        <w:tc>
          <w:tcPr>
            <w:tcW w:w="258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2425429C" w14:textId="77777777" w:rsidR="0097407C" w:rsidRPr="00DC022D" w:rsidRDefault="0097407C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Target</w:t>
            </w:r>
          </w:p>
        </w:tc>
        <w:tc>
          <w:tcPr>
            <w:tcW w:w="3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791A23" w14:textId="77777777" w:rsidR="0097407C" w:rsidRPr="00DC022D" w:rsidRDefault="0097407C" w:rsidP="003921EE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DC022D">
              <w:rPr>
                <w:rFonts w:eastAsia="Wingdings" w:cs="Arial"/>
                <w:b/>
                <w:bCs/>
                <w:sz w:val="18"/>
                <w:szCs w:val="18"/>
              </w:rPr>
              <w:t>Habita</w:t>
            </w:r>
            <w:r>
              <w:rPr>
                <w:rFonts w:eastAsia="Wingdings" w:cs="Arial"/>
                <w:b/>
                <w:bCs/>
                <w:sz w:val="18"/>
                <w:szCs w:val="18"/>
              </w:rPr>
              <w:t>t</w:t>
            </w:r>
          </w:p>
        </w:tc>
        <w:tc>
          <w:tcPr>
            <w:tcW w:w="3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EC84C8" w14:textId="77777777" w:rsidR="0097407C" w:rsidRPr="00DC022D" w:rsidRDefault="0097407C" w:rsidP="003921EE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DC022D">
              <w:rPr>
                <w:rFonts w:eastAsia="Wingdings" w:cs="Arial"/>
                <w:b/>
                <w:bCs/>
                <w:sz w:val="18"/>
                <w:szCs w:val="18"/>
              </w:rPr>
              <w:t>Specie</w:t>
            </w:r>
          </w:p>
        </w:tc>
      </w:tr>
      <w:tr w:rsidR="0097407C" w:rsidRPr="00DC022D" w14:paraId="4926B2DF" w14:textId="77777777" w:rsidTr="0097407C">
        <w:trPr>
          <w:cantSplit/>
          <w:trHeight w:val="284"/>
        </w:trPr>
        <w:tc>
          <w:tcPr>
            <w:tcW w:w="2589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09C52DC" w14:textId="77777777" w:rsidR="0097407C" w:rsidRPr="00DC022D" w:rsidRDefault="0097407C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23A0A2" w14:textId="351F818A" w:rsidR="0097407C" w:rsidRPr="00DC022D" w:rsidRDefault="0097407C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>
              <w:rPr>
                <w:rFonts w:eastAsia="Wingdings" w:cs="Arial"/>
                <w:sz w:val="18"/>
                <w:szCs w:val="18"/>
              </w:rPr>
              <w:t>8310</w:t>
            </w:r>
          </w:p>
        </w:tc>
        <w:tc>
          <w:tcPr>
            <w:tcW w:w="38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1885E3" w14:textId="77777777" w:rsidR="005D141F" w:rsidRPr="00F07E6D" w:rsidRDefault="0097407C" w:rsidP="00F07E6D">
            <w:pPr>
              <w:spacing w:after="0" w:line="240" w:lineRule="auto"/>
              <w:ind w:firstLine="0"/>
              <w:rPr>
                <w:rFonts w:eastAsia="Wingdings" w:cs="Arial"/>
                <w:i/>
                <w:iCs/>
                <w:sz w:val="18"/>
                <w:szCs w:val="18"/>
              </w:rPr>
            </w:pPr>
            <w:proofErr w:type="spellStart"/>
            <w:r w:rsidRPr="0097407C">
              <w:rPr>
                <w:rFonts w:eastAsia="Wingdings" w:cs="Arial"/>
                <w:i/>
                <w:iCs/>
                <w:sz w:val="18"/>
                <w:szCs w:val="18"/>
              </w:rPr>
              <w:t>Barbastella</w:t>
            </w:r>
            <w:proofErr w:type="spellEnd"/>
            <w:r w:rsidRPr="0097407C">
              <w:rPr>
                <w:rFonts w:eastAsia="Wingdings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97407C">
              <w:rPr>
                <w:rFonts w:eastAsia="Wingdings" w:cs="Arial"/>
                <w:i/>
                <w:iCs/>
                <w:sz w:val="18"/>
                <w:szCs w:val="18"/>
              </w:rPr>
              <w:t>barbastellus</w:t>
            </w:r>
            <w:proofErr w:type="spellEnd"/>
            <w:r>
              <w:rPr>
                <w:rFonts w:eastAsia="Wingdings" w:cs="Arial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97407C">
              <w:rPr>
                <w:rFonts w:eastAsia="Wingdings" w:cs="Arial"/>
                <w:i/>
                <w:iCs/>
                <w:sz w:val="18"/>
                <w:szCs w:val="18"/>
              </w:rPr>
              <w:t>Miniopterus</w:t>
            </w:r>
            <w:proofErr w:type="spellEnd"/>
            <w:r w:rsidRPr="0097407C">
              <w:rPr>
                <w:rFonts w:eastAsia="Wingdings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07E6D">
              <w:rPr>
                <w:rFonts w:eastAsia="Wingdings" w:cs="Arial"/>
                <w:i/>
                <w:iCs/>
                <w:sz w:val="18"/>
                <w:szCs w:val="18"/>
              </w:rPr>
              <w:t>schreibersii</w:t>
            </w:r>
            <w:proofErr w:type="spellEnd"/>
            <w:r w:rsidR="005D141F" w:rsidRPr="00F07E6D">
              <w:rPr>
                <w:rFonts w:eastAsia="Wingdings" w:cs="Arial"/>
                <w:i/>
                <w:iCs/>
                <w:sz w:val="18"/>
                <w:szCs w:val="18"/>
              </w:rPr>
              <w:t xml:space="preserve">, , </w:t>
            </w:r>
            <w:proofErr w:type="spellStart"/>
            <w:r w:rsidR="005D141F" w:rsidRPr="00F07E6D">
              <w:rPr>
                <w:rFonts w:eastAsia="Wingdings" w:cs="Arial"/>
                <w:i/>
                <w:iCs/>
                <w:sz w:val="18"/>
                <w:szCs w:val="18"/>
              </w:rPr>
              <w:t>Rhinolophus</w:t>
            </w:r>
            <w:proofErr w:type="spellEnd"/>
            <w:r w:rsidR="005D141F" w:rsidRPr="00F07E6D">
              <w:rPr>
                <w:rFonts w:eastAsia="Wingdings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5D141F" w:rsidRPr="00F07E6D">
              <w:rPr>
                <w:rFonts w:eastAsia="Wingdings" w:cs="Arial"/>
                <w:i/>
                <w:iCs/>
                <w:sz w:val="18"/>
                <w:szCs w:val="18"/>
              </w:rPr>
              <w:t>ferrumequinum</w:t>
            </w:r>
            <w:proofErr w:type="spellEnd"/>
          </w:p>
          <w:p w14:paraId="19D6311C" w14:textId="19D55C90" w:rsidR="0097407C" w:rsidRPr="00DC022D" w:rsidRDefault="005D141F" w:rsidP="00F07E6D">
            <w:pPr>
              <w:spacing w:after="0" w:line="240" w:lineRule="auto"/>
              <w:ind w:firstLine="0"/>
              <w:rPr>
                <w:rFonts w:eastAsia="Wingdings" w:cs="Arial"/>
                <w:i/>
                <w:iCs/>
                <w:sz w:val="18"/>
                <w:szCs w:val="18"/>
              </w:rPr>
            </w:pPr>
            <w:proofErr w:type="spellStart"/>
            <w:r w:rsidRPr="00F07E6D">
              <w:rPr>
                <w:rFonts w:eastAsia="Wingdings" w:cs="Arial"/>
                <w:i/>
                <w:iCs/>
                <w:sz w:val="18"/>
                <w:szCs w:val="18"/>
              </w:rPr>
              <w:t>Rhinolophus</w:t>
            </w:r>
            <w:proofErr w:type="spellEnd"/>
            <w:r w:rsidRPr="00F07E6D">
              <w:rPr>
                <w:rFonts w:eastAsia="Wingdings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F07E6D">
              <w:rPr>
                <w:rFonts w:eastAsia="Wingdings" w:cs="Arial"/>
                <w:i/>
                <w:iCs/>
                <w:sz w:val="18"/>
                <w:szCs w:val="18"/>
              </w:rPr>
              <w:t>hipposideros</w:t>
            </w:r>
            <w:proofErr w:type="spellEnd"/>
          </w:p>
        </w:tc>
      </w:tr>
      <w:tr w:rsidR="0097407C" w:rsidRPr="00DC022D" w14:paraId="10375974" w14:textId="77777777" w:rsidTr="003921EE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6CA8FB96" w14:textId="77777777" w:rsidR="0097407C" w:rsidRPr="00DC022D" w:rsidRDefault="0097407C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Pressioni/Minacce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9C89CE2" w14:textId="61C99B60" w:rsidR="0097407C" w:rsidRPr="00DC022D" w:rsidRDefault="0097407C" w:rsidP="003921EE">
            <w:pPr>
              <w:spacing w:after="0" w:line="240" w:lineRule="auto"/>
              <w:ind w:firstLine="0"/>
              <w:jc w:val="left"/>
              <w:rPr>
                <w:rFonts w:cs="Arial"/>
                <w:noProof/>
                <w:sz w:val="18"/>
                <w:szCs w:val="18"/>
                <w14:ligatures w14:val="standardContextual"/>
              </w:rPr>
            </w:pPr>
            <w:r w:rsidRPr="0097407C">
              <w:rPr>
                <w:rFonts w:cs="Arial"/>
                <w:noProof/>
                <w:sz w:val="18"/>
                <w:szCs w:val="18"/>
                <w14:ligatures w14:val="standardContextual"/>
              </w:rPr>
              <w:t>PF05</w:t>
            </w:r>
          </w:p>
        </w:tc>
      </w:tr>
      <w:tr w:rsidR="0097407C" w:rsidRPr="00DC022D" w14:paraId="4B3D9AEB" w14:textId="77777777" w:rsidTr="003921EE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366F7854" w14:textId="77777777" w:rsidR="0097407C" w:rsidRPr="00DC022D" w:rsidRDefault="0097407C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Localizzazione ed eventuale stralcio cartografico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D680967" w14:textId="34148854" w:rsidR="0097407C" w:rsidRPr="00DC022D" w:rsidRDefault="0097407C" w:rsidP="0097407C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Tutto il sito</w:t>
            </w:r>
          </w:p>
        </w:tc>
      </w:tr>
      <w:tr w:rsidR="0097407C" w:rsidRPr="00DC022D" w14:paraId="6B4B8528" w14:textId="77777777" w:rsidTr="003921EE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56D15CC" w14:textId="77777777" w:rsidR="0097407C" w:rsidRPr="00DC022D" w:rsidRDefault="0097407C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Descrizione dello stato attuale e contestualizzazione dell’azione nel Piano di gestione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4E9E038" w14:textId="43048CFB" w:rsidR="0097407C" w:rsidRPr="00DC022D" w:rsidRDefault="0090084F" w:rsidP="0090084F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90084F">
              <w:rPr>
                <w:rFonts w:cs="Arial"/>
                <w:sz w:val="18"/>
                <w:szCs w:val="18"/>
              </w:rPr>
              <w:t xml:space="preserve">L'attività di fruizione di grotte e cavità anche artificiali (es. </w:t>
            </w:r>
            <w:r>
              <w:rPr>
                <w:rFonts w:cs="Arial"/>
                <w:sz w:val="18"/>
                <w:szCs w:val="18"/>
              </w:rPr>
              <w:t xml:space="preserve">grotte romane o </w:t>
            </w:r>
            <w:r w:rsidRPr="0090084F">
              <w:rPr>
                <w:rFonts w:cs="Arial"/>
                <w:sz w:val="18"/>
                <w:szCs w:val="18"/>
              </w:rPr>
              <w:t>cunicol</w:t>
            </w:r>
            <w:r>
              <w:rPr>
                <w:rFonts w:cs="Arial"/>
                <w:sz w:val="18"/>
                <w:szCs w:val="18"/>
              </w:rPr>
              <w:t>i</w:t>
            </w:r>
            <w:r w:rsidRPr="0090084F">
              <w:rPr>
                <w:rFonts w:cs="Arial"/>
                <w:sz w:val="18"/>
                <w:szCs w:val="18"/>
              </w:rPr>
              <w:t xml:space="preserve"> artificiali</w:t>
            </w:r>
            <w:r>
              <w:rPr>
                <w:rFonts w:cs="Arial"/>
                <w:sz w:val="18"/>
                <w:szCs w:val="18"/>
              </w:rPr>
              <w:t>)</w:t>
            </w:r>
            <w:r w:rsidRPr="0090084F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costituisce</w:t>
            </w:r>
            <w:r w:rsidRPr="0090084F">
              <w:rPr>
                <w:rFonts w:cs="Arial"/>
                <w:sz w:val="18"/>
                <w:szCs w:val="18"/>
              </w:rPr>
              <w:t xml:space="preserve"> per </w:t>
            </w:r>
            <w:r>
              <w:rPr>
                <w:rFonts w:cs="Arial"/>
                <w:sz w:val="18"/>
                <w:szCs w:val="18"/>
              </w:rPr>
              <w:t>i chirotteri</w:t>
            </w:r>
            <w:r w:rsidRPr="0090084F">
              <w:rPr>
                <w:rFonts w:cs="Arial"/>
                <w:sz w:val="18"/>
                <w:szCs w:val="18"/>
              </w:rPr>
              <w:t xml:space="preserve"> una </w:t>
            </w:r>
            <w:r>
              <w:rPr>
                <w:rFonts w:cs="Arial"/>
                <w:sz w:val="18"/>
                <w:szCs w:val="18"/>
              </w:rPr>
              <w:t>pressione</w:t>
            </w:r>
            <w:r w:rsidRPr="0090084F">
              <w:rPr>
                <w:rFonts w:cs="Arial"/>
                <w:sz w:val="18"/>
                <w:szCs w:val="18"/>
              </w:rPr>
              <w:t xml:space="preserve"> che è opportuno monitorare anche in relazione all'incremento delle conoscenze sulla</w:t>
            </w:r>
            <w:r>
              <w:rPr>
                <w:rFonts w:cs="Arial"/>
                <w:sz w:val="18"/>
                <w:szCs w:val="18"/>
              </w:rPr>
              <w:t xml:space="preserve"> loro</w:t>
            </w:r>
            <w:r w:rsidRPr="0090084F">
              <w:rPr>
                <w:rFonts w:cs="Arial"/>
                <w:sz w:val="18"/>
                <w:szCs w:val="18"/>
              </w:rPr>
              <w:t xml:space="preserve"> distribuzione</w:t>
            </w:r>
            <w:r>
              <w:rPr>
                <w:rFonts w:cs="Arial"/>
                <w:sz w:val="18"/>
                <w:szCs w:val="18"/>
              </w:rPr>
              <w:t>.</w:t>
            </w:r>
            <w:r w:rsidRPr="0090084F">
              <w:rPr>
                <w:rFonts w:cs="Arial"/>
                <w:sz w:val="18"/>
                <w:szCs w:val="18"/>
              </w:rPr>
              <w:t xml:space="preserve"> Accessi non autorizzati </w:t>
            </w:r>
            <w:r>
              <w:rPr>
                <w:rFonts w:cs="Arial"/>
                <w:sz w:val="18"/>
                <w:szCs w:val="18"/>
              </w:rPr>
              <w:t xml:space="preserve">e </w:t>
            </w:r>
            <w:r w:rsidRPr="0090084F">
              <w:rPr>
                <w:rFonts w:cs="Arial"/>
                <w:sz w:val="18"/>
                <w:szCs w:val="18"/>
              </w:rPr>
              <w:t xml:space="preserve">attività </w:t>
            </w:r>
            <w:r w:rsidR="005D141F">
              <w:rPr>
                <w:rFonts w:cs="Arial"/>
                <w:sz w:val="18"/>
                <w:szCs w:val="18"/>
              </w:rPr>
              <w:t xml:space="preserve">turistico-ricreative o </w:t>
            </w:r>
            <w:r w:rsidRPr="0090084F">
              <w:rPr>
                <w:rFonts w:cs="Arial"/>
                <w:sz w:val="18"/>
                <w:szCs w:val="18"/>
              </w:rPr>
              <w:t xml:space="preserve">speleologiche presso le grotte </w:t>
            </w:r>
            <w:r w:rsidR="00905736">
              <w:rPr>
                <w:rFonts w:cs="Arial"/>
                <w:sz w:val="18"/>
                <w:szCs w:val="18"/>
              </w:rPr>
              <w:t>costituisco</w:t>
            </w:r>
            <w:r w:rsidR="00697746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una minaccia per l’habitat</w:t>
            </w:r>
            <w:r w:rsidR="005D141F">
              <w:rPr>
                <w:rFonts w:cs="Arial"/>
                <w:sz w:val="18"/>
                <w:szCs w:val="18"/>
              </w:rPr>
              <w:t xml:space="preserve"> e per le specie presenti</w:t>
            </w:r>
          </w:p>
        </w:tc>
      </w:tr>
      <w:tr w:rsidR="0097407C" w:rsidRPr="00DC022D" w14:paraId="496866CB" w14:textId="77777777" w:rsidTr="003921EE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B402DF1" w14:textId="77777777" w:rsidR="0097407C" w:rsidRPr="00DC022D" w:rsidRDefault="0097407C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Indicatori di stato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82F4B4B" w14:textId="3A7DF30A" w:rsidR="0097407C" w:rsidRPr="00DC022D" w:rsidRDefault="00802ADF" w:rsidP="003921EE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Numero di autorizzazioni rilasciate</w:t>
            </w:r>
            <w:r w:rsidR="001C72C5">
              <w:rPr>
                <w:rFonts w:cs="Arial"/>
                <w:sz w:val="18"/>
                <w:szCs w:val="18"/>
              </w:rPr>
              <w:t>/numero di “chiusure” applicate</w:t>
            </w:r>
          </w:p>
        </w:tc>
      </w:tr>
      <w:tr w:rsidR="0097407C" w:rsidRPr="00DC022D" w14:paraId="00A0CB08" w14:textId="77777777" w:rsidTr="003921EE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3C5EF9" w14:textId="77777777" w:rsidR="0097407C" w:rsidRPr="00DC022D" w:rsidRDefault="0097407C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Finalità dell’azione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145F82" w14:textId="10B3EDD6" w:rsidR="0097407C" w:rsidRPr="00DC022D" w:rsidRDefault="00802ADF" w:rsidP="003921EE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Controllo della fruizione di grotte e cavità</w:t>
            </w:r>
          </w:p>
        </w:tc>
      </w:tr>
      <w:tr w:rsidR="0097407C" w:rsidRPr="00DC022D" w14:paraId="4A9F5211" w14:textId="77777777" w:rsidTr="003921EE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99AC5A" w14:textId="77777777" w:rsidR="0097407C" w:rsidRPr="00DC022D" w:rsidRDefault="0097407C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Descrizione dell’azione e programma operativo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1DCAAB" w14:textId="437E6153" w:rsidR="0097407C" w:rsidRDefault="0097407C" w:rsidP="007A6E6F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97407C">
              <w:rPr>
                <w:rFonts w:cs="Arial"/>
                <w:sz w:val="18"/>
                <w:szCs w:val="18"/>
              </w:rPr>
              <w:t xml:space="preserve">Obbligo per </w:t>
            </w:r>
            <w:r w:rsidR="00A30A01">
              <w:rPr>
                <w:rFonts w:cs="Arial"/>
                <w:sz w:val="18"/>
                <w:szCs w:val="18"/>
              </w:rPr>
              <w:t>l’</w:t>
            </w:r>
            <w:r w:rsidRPr="0097407C">
              <w:rPr>
                <w:rFonts w:cs="Arial"/>
                <w:sz w:val="18"/>
                <w:szCs w:val="18"/>
              </w:rPr>
              <w:t>ingresso all'interno delle grotte e cavità della preventiva autorizzazione da parte dell'Ente Parco.</w:t>
            </w:r>
            <w:r w:rsidR="001C2D23">
              <w:rPr>
                <w:rFonts w:cs="Arial"/>
                <w:sz w:val="18"/>
                <w:szCs w:val="18"/>
              </w:rPr>
              <w:t xml:space="preserve"> Per una migliore applicazione dell</w:t>
            </w:r>
            <w:r w:rsidR="00873202">
              <w:rPr>
                <w:rFonts w:cs="Arial"/>
                <w:sz w:val="18"/>
                <w:szCs w:val="18"/>
              </w:rPr>
              <w:t>a</w:t>
            </w:r>
            <w:r w:rsidR="001C2D23">
              <w:rPr>
                <w:rFonts w:cs="Arial"/>
                <w:sz w:val="18"/>
                <w:szCs w:val="18"/>
              </w:rPr>
              <w:t xml:space="preserve"> norma </w:t>
            </w:r>
            <w:r w:rsidR="007608F4">
              <w:rPr>
                <w:rFonts w:cs="Arial"/>
                <w:sz w:val="18"/>
                <w:szCs w:val="18"/>
              </w:rPr>
              <w:t>g</w:t>
            </w:r>
            <w:r w:rsidR="00873202">
              <w:rPr>
                <w:rFonts w:cs="Arial"/>
                <w:sz w:val="18"/>
                <w:szCs w:val="18"/>
              </w:rPr>
              <w:t xml:space="preserve">li ingressi alle cavità </w:t>
            </w:r>
            <w:r w:rsidR="001C2D23">
              <w:rPr>
                <w:rFonts w:cs="Arial"/>
                <w:sz w:val="18"/>
                <w:szCs w:val="18"/>
              </w:rPr>
              <w:t>devono</w:t>
            </w:r>
            <w:r w:rsidR="007608F4">
              <w:rPr>
                <w:rFonts w:cs="Arial"/>
                <w:sz w:val="18"/>
                <w:szCs w:val="18"/>
              </w:rPr>
              <w:t xml:space="preserve"> essere</w:t>
            </w:r>
            <w:r w:rsidR="00873202">
              <w:rPr>
                <w:rFonts w:cs="Arial"/>
                <w:sz w:val="18"/>
                <w:szCs w:val="18"/>
              </w:rPr>
              <w:t xml:space="preserve"> impediti mediante una chiusura </w:t>
            </w:r>
            <w:r w:rsidR="00802ADF">
              <w:rPr>
                <w:rFonts w:cs="Arial"/>
                <w:sz w:val="18"/>
                <w:szCs w:val="18"/>
              </w:rPr>
              <w:t>per regolamentarne l’accesso senza impedire la frequentazione delle stesse da parte dei chirotteri</w:t>
            </w:r>
            <w:r w:rsidR="00697746">
              <w:rPr>
                <w:rFonts w:cs="Arial"/>
                <w:sz w:val="18"/>
                <w:szCs w:val="18"/>
              </w:rPr>
              <w:t xml:space="preserve"> delle cavità che dal monitoraggio (</w:t>
            </w:r>
            <w:proofErr w:type="spellStart"/>
            <w:r w:rsidR="00697746">
              <w:rPr>
                <w:rFonts w:cs="Arial"/>
                <w:sz w:val="18"/>
                <w:szCs w:val="18"/>
              </w:rPr>
              <w:t>rif.</w:t>
            </w:r>
            <w:proofErr w:type="spellEnd"/>
            <w:r w:rsidR="00697746">
              <w:rPr>
                <w:rFonts w:cs="Arial"/>
                <w:sz w:val="18"/>
                <w:szCs w:val="18"/>
              </w:rPr>
              <w:t xml:space="preserve"> Scheda </w:t>
            </w:r>
            <w:r w:rsidR="00697746" w:rsidRPr="00697746">
              <w:rPr>
                <w:rFonts w:cs="Arial"/>
                <w:sz w:val="18"/>
                <w:szCs w:val="18"/>
              </w:rPr>
              <w:t>Monitoraggio periodico habitat e specie per attività di</w:t>
            </w:r>
            <w:r w:rsidR="007A6E6F">
              <w:rPr>
                <w:rFonts w:cs="Arial"/>
                <w:sz w:val="18"/>
                <w:szCs w:val="18"/>
              </w:rPr>
              <w:t xml:space="preserve"> </w:t>
            </w:r>
            <w:r w:rsidR="00697746" w:rsidRPr="00697746">
              <w:rPr>
                <w:rFonts w:cs="Arial"/>
                <w:sz w:val="18"/>
                <w:szCs w:val="18"/>
              </w:rPr>
              <w:t>reporting</w:t>
            </w:r>
            <w:r w:rsidR="00697746">
              <w:rPr>
                <w:rFonts w:cs="Arial"/>
                <w:sz w:val="18"/>
                <w:szCs w:val="18"/>
              </w:rPr>
              <w:t xml:space="preserve">) risultino colonizzate o che presentano le caratteristiche di sviluppo idonee ad essere potenziali </w:t>
            </w:r>
            <w:proofErr w:type="spellStart"/>
            <w:r w:rsidR="00697746">
              <w:rPr>
                <w:rFonts w:cs="Arial"/>
                <w:sz w:val="18"/>
                <w:szCs w:val="18"/>
              </w:rPr>
              <w:t>roost</w:t>
            </w:r>
            <w:proofErr w:type="spellEnd"/>
            <w:r w:rsidR="00697746">
              <w:rPr>
                <w:rFonts w:cs="Arial"/>
                <w:sz w:val="18"/>
                <w:szCs w:val="18"/>
              </w:rPr>
              <w:t>)</w:t>
            </w:r>
            <w:r w:rsidR="007A6E6F">
              <w:rPr>
                <w:rFonts w:cs="Arial"/>
                <w:sz w:val="18"/>
                <w:szCs w:val="18"/>
              </w:rPr>
              <w:t>.</w:t>
            </w:r>
          </w:p>
          <w:p w14:paraId="6094EFB8" w14:textId="091CFEFE" w:rsidR="00873202" w:rsidRDefault="001C2D23" w:rsidP="007A6E6F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 tale </w:t>
            </w:r>
            <w:r w:rsidR="001C72C5">
              <w:rPr>
                <w:rFonts w:cs="Arial"/>
                <w:sz w:val="18"/>
                <w:szCs w:val="18"/>
              </w:rPr>
              <w:t xml:space="preserve">scopo </w:t>
            </w:r>
            <w:r w:rsidR="00873202">
              <w:rPr>
                <w:rFonts w:cs="Arial"/>
                <w:sz w:val="18"/>
                <w:szCs w:val="18"/>
              </w:rPr>
              <w:t>l’interdizione dell’ingresso ai visitatori può essere realizzata mediante</w:t>
            </w:r>
            <w:r w:rsidR="007608F4">
              <w:rPr>
                <w:rFonts w:cs="Arial"/>
                <w:sz w:val="18"/>
                <w:szCs w:val="18"/>
              </w:rPr>
              <w:t>:</w:t>
            </w:r>
          </w:p>
          <w:p w14:paraId="283A10E3" w14:textId="04B1AFD9" w:rsidR="00873202" w:rsidRPr="00873202" w:rsidRDefault="00873202" w:rsidP="007A6E6F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 </w:t>
            </w:r>
            <w:r w:rsidRPr="00873202">
              <w:rPr>
                <w:rFonts w:cs="Arial"/>
                <w:sz w:val="18"/>
                <w:szCs w:val="18"/>
              </w:rPr>
              <w:t xml:space="preserve">- cancellata costituita da griglia dotata di sbarre orizzontali distanti tra loro almeno 150 mm e minimi supporti verticali distanti tra </w:t>
            </w:r>
            <w:r w:rsidRPr="00DB4E0A">
              <w:rPr>
                <w:rFonts w:cs="Arial"/>
                <w:sz w:val="18"/>
                <w:szCs w:val="18"/>
              </w:rPr>
              <w:t xml:space="preserve">loro </w:t>
            </w:r>
            <w:r w:rsidRPr="00697746">
              <w:rPr>
                <w:rFonts w:cs="Arial"/>
                <w:sz w:val="18"/>
                <w:szCs w:val="18"/>
              </w:rPr>
              <w:t xml:space="preserve">non meno di 60 </w:t>
            </w:r>
            <w:r w:rsidR="00DB4E0A" w:rsidRPr="00697746">
              <w:rPr>
                <w:rFonts w:cs="Arial"/>
                <w:sz w:val="18"/>
                <w:szCs w:val="18"/>
              </w:rPr>
              <w:t>c</w:t>
            </w:r>
            <w:r w:rsidRPr="00697746">
              <w:rPr>
                <w:rFonts w:cs="Arial"/>
                <w:sz w:val="18"/>
                <w:szCs w:val="18"/>
              </w:rPr>
              <w:t>m</w:t>
            </w:r>
            <w:r w:rsidRPr="00DB4E0A">
              <w:rPr>
                <w:rFonts w:cs="Arial"/>
                <w:sz w:val="18"/>
                <w:szCs w:val="18"/>
              </w:rPr>
              <w:t xml:space="preserve"> (la distanza tra le sbarre deve essere intesa come spazio vuoto fra le sbarre, non misurata</w:t>
            </w:r>
            <w:r w:rsidRPr="00873202">
              <w:rPr>
                <w:rFonts w:cs="Arial"/>
                <w:sz w:val="18"/>
                <w:szCs w:val="18"/>
              </w:rPr>
              <w:t xml:space="preserve"> fra gli assi centrali delle sbarre);</w:t>
            </w:r>
          </w:p>
          <w:p w14:paraId="47BA2161" w14:textId="0E7348EA" w:rsidR="001C2D23" w:rsidRPr="00DC022D" w:rsidRDefault="00873202" w:rsidP="007A6E6F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873202">
              <w:rPr>
                <w:rFonts w:cs="Arial"/>
                <w:sz w:val="18"/>
                <w:szCs w:val="18"/>
              </w:rPr>
              <w:t xml:space="preserve">- </w:t>
            </w:r>
            <w:r w:rsidR="007608F4">
              <w:rPr>
                <w:rFonts w:cs="Arial"/>
                <w:sz w:val="18"/>
                <w:szCs w:val="18"/>
              </w:rPr>
              <w:t xml:space="preserve">in alternativa </w:t>
            </w:r>
            <w:r w:rsidRPr="00873202">
              <w:rPr>
                <w:rFonts w:cs="Arial"/>
                <w:sz w:val="18"/>
                <w:szCs w:val="18"/>
              </w:rPr>
              <w:t xml:space="preserve">recinzione dell'area di accesso. </w:t>
            </w:r>
            <w:r>
              <w:rPr>
                <w:rFonts w:cs="Arial"/>
                <w:sz w:val="18"/>
                <w:szCs w:val="18"/>
              </w:rPr>
              <w:t>N</w:t>
            </w:r>
            <w:r w:rsidRPr="00873202">
              <w:rPr>
                <w:rFonts w:cs="Arial"/>
                <w:sz w:val="18"/>
                <w:szCs w:val="18"/>
              </w:rPr>
              <w:t>el caso si scelga di utilizzare la recinzion</w:t>
            </w:r>
            <w:r w:rsidR="00F00CEA">
              <w:rPr>
                <w:rFonts w:cs="Arial"/>
                <w:sz w:val="18"/>
                <w:szCs w:val="18"/>
              </w:rPr>
              <w:t>e</w:t>
            </w:r>
            <w:r w:rsidRPr="00873202">
              <w:rPr>
                <w:rFonts w:cs="Arial"/>
                <w:sz w:val="18"/>
                <w:szCs w:val="18"/>
              </w:rPr>
              <w:t xml:space="preserve"> esterna, questa dovrà essere </w:t>
            </w:r>
            <w:r w:rsidR="001C72C5" w:rsidRPr="00873202">
              <w:rPr>
                <w:rFonts w:cs="Arial"/>
                <w:sz w:val="18"/>
                <w:szCs w:val="18"/>
              </w:rPr>
              <w:t>collocat</w:t>
            </w:r>
            <w:r w:rsidR="001C72C5">
              <w:rPr>
                <w:rFonts w:cs="Arial"/>
                <w:sz w:val="18"/>
                <w:szCs w:val="18"/>
              </w:rPr>
              <w:t>a</w:t>
            </w:r>
            <w:r w:rsidR="001C72C5" w:rsidRPr="00873202">
              <w:rPr>
                <w:rFonts w:cs="Arial"/>
                <w:sz w:val="18"/>
                <w:szCs w:val="18"/>
              </w:rPr>
              <w:t xml:space="preserve"> </w:t>
            </w:r>
            <w:r w:rsidRPr="00873202">
              <w:rPr>
                <w:rFonts w:cs="Arial"/>
                <w:sz w:val="18"/>
                <w:szCs w:val="18"/>
              </w:rPr>
              <w:t>ad almeno 5 metri di distanza dall’imbocco dell'ingresso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</w:tr>
      <w:tr w:rsidR="0097407C" w:rsidRPr="00DC022D" w14:paraId="06172614" w14:textId="77777777" w:rsidTr="003921EE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1C291F" w14:textId="77777777" w:rsidR="0097407C" w:rsidRPr="00DC022D" w:rsidRDefault="0097407C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Descrizione dei risultati attesi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626707" w14:textId="0FEE87A2" w:rsidR="0097407C" w:rsidRPr="00DC022D" w:rsidRDefault="0097407C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sz w:val="18"/>
                <w:szCs w:val="18"/>
              </w:rPr>
              <w:t>Miglioramento/mantenimento del grado di conservazione del</w:t>
            </w:r>
            <w:r w:rsidR="00802ADF">
              <w:rPr>
                <w:rFonts w:cs="Arial"/>
                <w:sz w:val="18"/>
                <w:szCs w:val="18"/>
              </w:rPr>
              <w:t>l’habitat e delle</w:t>
            </w:r>
            <w:r w:rsidRPr="00DC022D">
              <w:rPr>
                <w:rFonts w:cs="Arial"/>
                <w:sz w:val="18"/>
                <w:szCs w:val="18"/>
              </w:rPr>
              <w:t xml:space="preserve"> specie target</w:t>
            </w:r>
          </w:p>
        </w:tc>
      </w:tr>
      <w:tr w:rsidR="0097407C" w:rsidRPr="00DC022D" w14:paraId="65AF4D50" w14:textId="77777777" w:rsidTr="003921EE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1C7906" w14:textId="77777777" w:rsidR="0097407C" w:rsidRPr="00DC022D" w:rsidRDefault="0097407C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Interessi economici coinvolti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5BB803" w14:textId="4CD604F4" w:rsidR="0097407C" w:rsidRPr="00DC022D" w:rsidRDefault="00802ADF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=</w:t>
            </w:r>
          </w:p>
        </w:tc>
      </w:tr>
      <w:tr w:rsidR="0097407C" w:rsidRPr="00DC022D" w14:paraId="75121CA0" w14:textId="77777777" w:rsidTr="003921EE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C2B4B4B" w14:textId="77777777" w:rsidR="0097407C" w:rsidRPr="00DC022D" w:rsidRDefault="0097407C" w:rsidP="003921EE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Soggetti attuatori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3F47AA7" w14:textId="1ECB73A7" w:rsidR="0097407C" w:rsidRPr="00DC022D" w:rsidRDefault="0097407C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sz w:val="18"/>
                <w:szCs w:val="18"/>
              </w:rPr>
              <w:t xml:space="preserve">Ente gestore </w:t>
            </w:r>
          </w:p>
        </w:tc>
      </w:tr>
      <w:tr w:rsidR="0097407C" w:rsidRPr="00DC022D" w14:paraId="4D1E0CAC" w14:textId="77777777" w:rsidTr="003921EE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2E11CA9" w14:textId="77777777" w:rsidR="0097407C" w:rsidRPr="00DC022D" w:rsidRDefault="0097407C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Priorità dell’azione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1156706" w14:textId="2B5E1C60" w:rsidR="0097407C" w:rsidRPr="00DC022D" w:rsidRDefault="0097407C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Media</w:t>
            </w:r>
          </w:p>
        </w:tc>
      </w:tr>
      <w:tr w:rsidR="0097407C" w:rsidRPr="00DC022D" w14:paraId="62C41893" w14:textId="77777777" w:rsidTr="003921EE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D904DE" w14:textId="77777777" w:rsidR="0097407C" w:rsidRPr="00DC022D" w:rsidRDefault="0097407C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Tempi e stima dei costi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AC15E9" w14:textId="77777777" w:rsidR="0097407C" w:rsidRDefault="0097407C" w:rsidP="003921EE">
            <w:pPr>
              <w:tabs>
                <w:tab w:val="left" w:pos="541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sz w:val="18"/>
                <w:szCs w:val="18"/>
              </w:rPr>
              <w:t>Vigente all’approvazione del Piano di gestione</w:t>
            </w:r>
          </w:p>
          <w:p w14:paraId="649C7F14" w14:textId="6ED4FB9A" w:rsidR="001C2D23" w:rsidRPr="00DC022D" w:rsidRDefault="001C2D23" w:rsidP="003921EE">
            <w:pPr>
              <w:tabs>
                <w:tab w:val="left" w:pos="541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</w:t>
            </w:r>
            <w:r w:rsidR="00873202">
              <w:rPr>
                <w:rFonts w:cs="Arial"/>
                <w:sz w:val="18"/>
                <w:szCs w:val="18"/>
              </w:rPr>
              <w:t>a chiusura delle cavità</w:t>
            </w:r>
            <w:r>
              <w:rPr>
                <w:rFonts w:cs="Arial"/>
                <w:sz w:val="18"/>
                <w:szCs w:val="18"/>
              </w:rPr>
              <w:t xml:space="preserve"> deve </w:t>
            </w:r>
            <w:r w:rsidR="00873202">
              <w:rPr>
                <w:rFonts w:cs="Arial"/>
                <w:sz w:val="18"/>
                <w:szCs w:val="18"/>
              </w:rPr>
              <w:t xml:space="preserve">essere realizzata </w:t>
            </w:r>
            <w:r w:rsidR="00873202" w:rsidRPr="00236E22">
              <w:rPr>
                <w:rFonts w:cs="Arial"/>
                <w:sz w:val="18"/>
                <w:szCs w:val="18"/>
              </w:rPr>
              <w:t xml:space="preserve">entro </w:t>
            </w:r>
            <w:proofErr w:type="gramStart"/>
            <w:r w:rsidR="00D33759">
              <w:rPr>
                <w:rFonts w:cs="Arial"/>
                <w:sz w:val="18"/>
                <w:szCs w:val="18"/>
              </w:rPr>
              <w:t>4</w:t>
            </w:r>
            <w:proofErr w:type="gramEnd"/>
            <w:r w:rsidR="00D33759" w:rsidRPr="00236E22">
              <w:rPr>
                <w:rFonts w:cs="Arial"/>
                <w:sz w:val="18"/>
                <w:szCs w:val="18"/>
              </w:rPr>
              <w:t xml:space="preserve"> </w:t>
            </w:r>
            <w:r w:rsidR="00873202" w:rsidRPr="00236E22">
              <w:rPr>
                <w:rFonts w:cs="Arial"/>
                <w:sz w:val="18"/>
                <w:szCs w:val="18"/>
              </w:rPr>
              <w:t>anni</w:t>
            </w:r>
            <w:r w:rsidR="002E750B">
              <w:rPr>
                <w:rFonts w:cs="Arial"/>
                <w:sz w:val="18"/>
                <w:szCs w:val="18"/>
              </w:rPr>
              <w:t>, con priorità e urgenza in particolare per le Grotte Romane.</w:t>
            </w:r>
            <w:r w:rsidR="00873202" w:rsidRPr="00236E22">
              <w:rPr>
                <w:rFonts w:cs="Arial"/>
                <w:sz w:val="18"/>
                <w:szCs w:val="18"/>
              </w:rPr>
              <w:t xml:space="preserve"> Costo: </w:t>
            </w:r>
            <w:r w:rsidR="00A30A01">
              <w:rPr>
                <w:rFonts w:cs="Arial"/>
                <w:sz w:val="18"/>
                <w:szCs w:val="18"/>
              </w:rPr>
              <w:t>3.0</w:t>
            </w:r>
            <w:r w:rsidR="00873202" w:rsidRPr="00236E22">
              <w:rPr>
                <w:rFonts w:cs="Arial"/>
                <w:sz w:val="18"/>
                <w:szCs w:val="18"/>
              </w:rPr>
              <w:t xml:space="preserve">00 € </w:t>
            </w:r>
            <w:r w:rsidR="00873202">
              <w:rPr>
                <w:rFonts w:cs="Arial"/>
                <w:sz w:val="18"/>
                <w:szCs w:val="18"/>
              </w:rPr>
              <w:t>a chiusura</w:t>
            </w:r>
          </w:p>
        </w:tc>
      </w:tr>
      <w:tr w:rsidR="0097407C" w:rsidRPr="00DC022D" w14:paraId="547E4D2E" w14:textId="77777777" w:rsidTr="003921EE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7EFB857" w14:textId="77777777" w:rsidR="0097407C" w:rsidRPr="00DC022D" w:rsidRDefault="0097407C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Riferimenti programmatici e linee di finanziamento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27F9B86" w14:textId="19BAB512" w:rsidR="0097407C" w:rsidRPr="00DC022D" w:rsidRDefault="00D33759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POR-FESR/PTRAP</w:t>
            </w:r>
          </w:p>
        </w:tc>
      </w:tr>
      <w:tr w:rsidR="0097407C" w:rsidRPr="00DC022D" w14:paraId="3EA0D194" w14:textId="77777777" w:rsidTr="003921EE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C63ADF6" w14:textId="77777777" w:rsidR="0097407C" w:rsidRPr="00DC022D" w:rsidRDefault="0097407C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Riferimenti e allegati tecnici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7157E72" w14:textId="77777777" w:rsidR="0097407C" w:rsidRPr="00DC022D" w:rsidRDefault="0097407C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</w:tbl>
    <w:p w14:paraId="6F7DFF56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39B7"/>
    <w:multiLevelType w:val="hybridMultilevel"/>
    <w:tmpl w:val="58F05184"/>
    <w:lvl w:ilvl="0" w:tplc="F822EA02">
      <w:start w:val="1"/>
      <w:numFmt w:val="decimal"/>
      <w:suff w:val="nothing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1"/>
  </w:num>
  <w:num w:numId="2" w16cid:durableId="1671060808">
    <w:abstractNumId w:val="1"/>
  </w:num>
  <w:num w:numId="3" w16cid:durableId="1786539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ED"/>
    <w:rsid w:val="00015A8F"/>
    <w:rsid w:val="001C2D23"/>
    <w:rsid w:val="001C72C5"/>
    <w:rsid w:val="002764C6"/>
    <w:rsid w:val="002E750B"/>
    <w:rsid w:val="004F70B0"/>
    <w:rsid w:val="005D141F"/>
    <w:rsid w:val="00697746"/>
    <w:rsid w:val="00726991"/>
    <w:rsid w:val="007608F4"/>
    <w:rsid w:val="007A6E6F"/>
    <w:rsid w:val="00802ADF"/>
    <w:rsid w:val="00860E7A"/>
    <w:rsid w:val="008670A9"/>
    <w:rsid w:val="00873202"/>
    <w:rsid w:val="0090084F"/>
    <w:rsid w:val="00905736"/>
    <w:rsid w:val="0097407C"/>
    <w:rsid w:val="00A30A01"/>
    <w:rsid w:val="00B16EF6"/>
    <w:rsid w:val="00BF30ED"/>
    <w:rsid w:val="00C24B5D"/>
    <w:rsid w:val="00CE2830"/>
    <w:rsid w:val="00D33759"/>
    <w:rsid w:val="00DB4E0A"/>
    <w:rsid w:val="00F00CEA"/>
    <w:rsid w:val="00F0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A3FE"/>
  <w15:chartTrackingRefBased/>
  <w15:docId w15:val="{F0A3E1B6-0EB3-493C-AD5F-A0967D3EC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7407C"/>
    <w:pPr>
      <w:spacing w:after="120" w:line="36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F30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F30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F30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F30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F30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F30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F30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F30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F30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F30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F30E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F30E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F30E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F30E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F30E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F30E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F30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F30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F30ED"/>
    <w:pPr>
      <w:numPr>
        <w:ilvl w:val="1"/>
      </w:numPr>
      <w:ind w:firstLine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F30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F30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F30ED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99"/>
    <w:qFormat/>
    <w:rsid w:val="00BF30E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F30E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F30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F30E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F30ED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97407C"/>
  </w:style>
  <w:style w:type="paragraph" w:styleId="Revisione">
    <w:name w:val="Revision"/>
    <w:hidden/>
    <w:uiPriority w:val="99"/>
    <w:semiHidden/>
    <w:rsid w:val="001C72C5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1C72C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C72C5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C72C5"/>
    <w:rPr>
      <w:rFonts w:ascii="Arial" w:eastAsia="Times New Roman" w:hAnsi="Arial" w:cs="Times New Roman"/>
      <w:kern w:val="0"/>
      <w:sz w:val="20"/>
      <w:szCs w:val="20"/>
      <w:lang w:eastAsia="it-IT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C72C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C72C5"/>
    <w:rPr>
      <w:rFonts w:ascii="Arial" w:eastAsia="Times New Roman" w:hAnsi="Arial" w:cs="Times New Roman"/>
      <w:b/>
      <w:bCs/>
      <w:kern w:val="0"/>
      <w:sz w:val="2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13</cp:revision>
  <dcterms:created xsi:type="dcterms:W3CDTF">2024-03-22T13:03:00Z</dcterms:created>
  <dcterms:modified xsi:type="dcterms:W3CDTF">2024-08-27T11:25:00Z</dcterms:modified>
</cp:coreProperties>
</file>