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81"/>
        <w:gridCol w:w="2235"/>
        <w:gridCol w:w="527"/>
        <w:gridCol w:w="1492"/>
        <w:gridCol w:w="3293"/>
      </w:tblGrid>
      <w:tr w:rsidR="005B6015" w:rsidRPr="00F31E3A" w14:paraId="7828D834" w14:textId="77777777" w:rsidTr="00B20057">
        <w:trPr>
          <w:cantSplit/>
          <w:trHeight w:val="284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02B93" w:themeFill="accent5"/>
            <w:vAlign w:val="center"/>
          </w:tcPr>
          <w:p w14:paraId="3B401365" w14:textId="77777777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bookmarkStart w:id="0" w:name="_Hlk159861056"/>
            <w:r w:rsidRPr="00F31E3A">
              <w:rPr>
                <w:rFonts w:cs="Arial"/>
                <w:b/>
                <w:sz w:val="18"/>
                <w:szCs w:val="18"/>
              </w:rPr>
              <w:t>Scheda</w:t>
            </w:r>
          </w:p>
          <w:p w14:paraId="2434E794" w14:textId="77777777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A4E319" w14:textId="77777777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Codice del SIC/ZPS</w:t>
            </w:r>
          </w:p>
        </w:tc>
        <w:tc>
          <w:tcPr>
            <w:tcW w:w="531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7D4EF" w:themeFill="text2" w:themeFillTint="33"/>
            <w:vAlign w:val="center"/>
          </w:tcPr>
          <w:p w14:paraId="7CA8F0BF" w14:textId="283718F1" w:rsidR="005B6015" w:rsidRPr="00F31E3A" w:rsidRDefault="005B6015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5B6015" w:rsidRPr="00F31E3A" w14:paraId="7AAB53B4" w14:textId="77777777" w:rsidTr="00B20057">
        <w:trPr>
          <w:cantSplit/>
          <w:trHeight w:val="284"/>
        </w:trPr>
        <w:tc>
          <w:tcPr>
            <w:tcW w:w="2081" w:type="dxa"/>
            <w:vMerge/>
            <w:tcBorders>
              <w:top w:val="single" w:sz="6" w:space="0" w:color="000000"/>
              <w:left w:val="single" w:sz="4" w:space="0" w:color="000000"/>
            </w:tcBorders>
            <w:shd w:val="clear" w:color="auto" w:fill="A02B93" w:themeFill="accent5"/>
            <w:vAlign w:val="center"/>
          </w:tcPr>
          <w:p w14:paraId="51FB36CE" w14:textId="77777777" w:rsidR="005B6015" w:rsidRPr="00F31E3A" w:rsidRDefault="005B6015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7256AD" w14:textId="77777777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i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Nome del SIC/ZPS</w:t>
            </w:r>
          </w:p>
        </w:tc>
        <w:tc>
          <w:tcPr>
            <w:tcW w:w="5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B7D4EF" w:themeFill="text2" w:themeFillTint="33"/>
            <w:vAlign w:val="center"/>
          </w:tcPr>
          <w:p w14:paraId="1673FC86" w14:textId="675BA595" w:rsidR="005B6015" w:rsidRPr="00F31E3A" w:rsidRDefault="005B6015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5B6015" w:rsidRPr="00F31E3A" w14:paraId="664B0F23" w14:textId="77777777" w:rsidTr="00B20057">
        <w:trPr>
          <w:cantSplit/>
          <w:trHeight w:val="284"/>
        </w:trPr>
        <w:tc>
          <w:tcPr>
            <w:tcW w:w="2081" w:type="dxa"/>
            <w:vMerge w:val="restart"/>
            <w:tcBorders>
              <w:left w:val="single" w:sz="4" w:space="0" w:color="000000"/>
            </w:tcBorders>
            <w:shd w:val="clear" w:color="auto" w:fill="A02B93" w:themeFill="accent5"/>
            <w:vAlign w:val="center"/>
          </w:tcPr>
          <w:p w14:paraId="19B714FB" w14:textId="77777777" w:rsidR="005B6015" w:rsidRPr="005B6015" w:rsidRDefault="005B6015" w:rsidP="005B6015">
            <w:pPr>
              <w:widowControl w:val="0"/>
              <w:suppressAutoHyphens/>
              <w:snapToGrid w:val="0"/>
              <w:spacing w:after="0" w:line="240" w:lineRule="auto"/>
              <w:ind w:left="567" w:firstLine="0"/>
              <w:jc w:val="left"/>
              <w:rPr>
                <w:rFonts w:cs="Arial"/>
                <w:b/>
                <w:i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ACACF0" w14:textId="77777777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Titolo dell’azione</w:t>
            </w:r>
          </w:p>
        </w:tc>
        <w:tc>
          <w:tcPr>
            <w:tcW w:w="5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33F2A" w14:textId="779CD511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5B6015">
              <w:rPr>
                <w:rFonts w:cs="Arial"/>
                <w:b/>
                <w:bCs/>
                <w:sz w:val="18"/>
                <w:szCs w:val="18"/>
              </w:rPr>
              <w:t xml:space="preserve">Monitoraggio del fenomeno di collisione </w:t>
            </w:r>
            <w:proofErr w:type="gramStart"/>
            <w:r w:rsidRPr="005B6015">
              <w:rPr>
                <w:rFonts w:cs="Arial"/>
                <w:b/>
                <w:bCs/>
                <w:sz w:val="18"/>
                <w:szCs w:val="18"/>
              </w:rPr>
              <w:t>e</w:t>
            </w:r>
            <w:proofErr w:type="gramEnd"/>
            <w:r w:rsidRPr="005B6015">
              <w:rPr>
                <w:rFonts w:cs="Arial"/>
                <w:b/>
                <w:bCs/>
                <w:sz w:val="18"/>
                <w:szCs w:val="18"/>
              </w:rPr>
              <w:t xml:space="preserve"> elettrocuzione</w:t>
            </w:r>
          </w:p>
        </w:tc>
      </w:tr>
      <w:tr w:rsidR="005B6015" w:rsidRPr="00F31E3A" w14:paraId="1A4E51A7" w14:textId="77777777" w:rsidTr="00B20057">
        <w:trPr>
          <w:cantSplit/>
          <w:trHeight w:val="284"/>
        </w:trPr>
        <w:tc>
          <w:tcPr>
            <w:tcW w:w="2081" w:type="dxa"/>
            <w:vMerge/>
            <w:tcBorders>
              <w:left w:val="single" w:sz="4" w:space="0" w:color="000000"/>
            </w:tcBorders>
            <w:shd w:val="clear" w:color="auto" w:fill="A02B93" w:themeFill="accent5"/>
            <w:vAlign w:val="center"/>
          </w:tcPr>
          <w:p w14:paraId="6890AC98" w14:textId="77777777" w:rsidR="005B6015" w:rsidRPr="00F31E3A" w:rsidRDefault="005B6015" w:rsidP="003921EE">
            <w:pPr>
              <w:snapToGrid w:val="0"/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13A3F3A" w14:textId="535BA0B3" w:rsidR="005B6015" w:rsidRPr="00F31E3A" w:rsidRDefault="00B20057" w:rsidP="003921EE">
            <w:pPr>
              <w:tabs>
                <w:tab w:val="left" w:pos="355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="005B6015" w:rsidRPr="00F31E3A">
              <w:rPr>
                <w:rFonts w:cs="Arial"/>
                <w:sz w:val="18"/>
                <w:szCs w:val="18"/>
              </w:rPr>
              <w:tab/>
              <w:t>Azione ordinaria</w:t>
            </w:r>
          </w:p>
          <w:p w14:paraId="02985F27" w14:textId="4FFC0791" w:rsidR="005B6015" w:rsidRPr="00F31E3A" w:rsidRDefault="00B20057" w:rsidP="003921EE">
            <w:pPr>
              <w:tabs>
                <w:tab w:val="left" w:pos="355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X </w:t>
            </w:r>
            <w:r w:rsidR="005B6015" w:rsidRPr="00F31E3A">
              <w:rPr>
                <w:rFonts w:cs="Arial"/>
                <w:sz w:val="18"/>
                <w:szCs w:val="18"/>
              </w:rPr>
              <w:tab/>
              <w:t>Azione straordinaria</w:t>
            </w:r>
          </w:p>
        </w:tc>
        <w:tc>
          <w:tcPr>
            <w:tcW w:w="20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A870ECC" w14:textId="669BFDBC" w:rsidR="005B6015" w:rsidRPr="00F31E3A" w:rsidRDefault="00B20057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="005B6015" w:rsidRPr="00F31E3A">
              <w:rPr>
                <w:rFonts w:cs="Arial"/>
                <w:sz w:val="18"/>
                <w:szCs w:val="18"/>
              </w:rPr>
              <w:tab/>
              <w:t>Azione generale</w:t>
            </w:r>
          </w:p>
          <w:p w14:paraId="1A4F615C" w14:textId="594EABFA" w:rsidR="005B6015" w:rsidRPr="00F31E3A" w:rsidRDefault="00B20057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X </w:t>
            </w:r>
            <w:r w:rsidR="005B6015" w:rsidRPr="00F31E3A">
              <w:rPr>
                <w:rFonts w:cs="Arial"/>
                <w:sz w:val="18"/>
                <w:szCs w:val="18"/>
              </w:rPr>
              <w:tab/>
              <w:t>Azione localizzata</w:t>
            </w: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6C835" w14:textId="2FDDB561" w:rsidR="005B6015" w:rsidRPr="00F31E3A" w:rsidRDefault="005B6015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cs="Arial"/>
                <w:sz w:val="18"/>
                <w:szCs w:val="18"/>
              </w:rPr>
              <w:tab/>
              <w:t>Azione materiale</w:t>
            </w:r>
          </w:p>
          <w:p w14:paraId="064B8587" w14:textId="5B7EC248" w:rsidR="005B6015" w:rsidRPr="00F31E3A" w:rsidRDefault="005B6015" w:rsidP="003921EE">
            <w:pPr>
              <w:tabs>
                <w:tab w:val="left" w:pos="354"/>
                <w:tab w:val="left" w:pos="2480"/>
                <w:tab w:val="left" w:pos="3614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X</w:t>
            </w:r>
            <w:r w:rsidRPr="00F31E3A">
              <w:rPr>
                <w:rFonts w:cs="Arial"/>
                <w:sz w:val="18"/>
                <w:szCs w:val="18"/>
              </w:rPr>
              <w:tab/>
              <w:t>Azione immateriale</w:t>
            </w:r>
          </w:p>
        </w:tc>
      </w:tr>
      <w:tr w:rsidR="005B6015" w:rsidRPr="00F31E3A" w14:paraId="32DF861D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43B1" w14:textId="77777777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Tipo azione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4B6D6" w14:textId="77777777" w:rsidR="005B6015" w:rsidRPr="00F31E3A" w:rsidRDefault="005B6015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31E3A">
              <w:rPr>
                <w:rFonts w:cs="Arial"/>
                <w:sz w:val="18"/>
                <w:szCs w:val="18"/>
              </w:rPr>
              <w:t>intervento attivo (</w:t>
            </w:r>
            <w:r w:rsidRPr="00F31E3A">
              <w:rPr>
                <w:rFonts w:cs="Arial"/>
                <w:b/>
                <w:sz w:val="18"/>
                <w:szCs w:val="18"/>
              </w:rPr>
              <w:t>IA)</w:t>
            </w:r>
          </w:p>
          <w:p w14:paraId="30173245" w14:textId="3A3BDBF3" w:rsidR="005B6015" w:rsidRPr="00F31E3A" w:rsidRDefault="005B6015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31E3A">
              <w:rPr>
                <w:rFonts w:cs="Arial"/>
                <w:sz w:val="18"/>
                <w:szCs w:val="18"/>
              </w:rPr>
              <w:t>regolamentazione (</w:t>
            </w:r>
            <w:r w:rsidRPr="00F31E3A">
              <w:rPr>
                <w:rFonts w:cs="Arial"/>
                <w:b/>
                <w:sz w:val="18"/>
                <w:szCs w:val="18"/>
              </w:rPr>
              <w:t>RE)</w:t>
            </w:r>
          </w:p>
          <w:p w14:paraId="04F044BB" w14:textId="77777777" w:rsidR="005B6015" w:rsidRPr="00F31E3A" w:rsidRDefault="005B6015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31E3A">
              <w:rPr>
                <w:rFonts w:cs="Arial"/>
                <w:sz w:val="18"/>
                <w:szCs w:val="18"/>
              </w:rPr>
              <w:t>incentivazione (</w:t>
            </w:r>
            <w:r w:rsidRPr="00F31E3A">
              <w:rPr>
                <w:rFonts w:cs="Arial"/>
                <w:b/>
                <w:sz w:val="18"/>
                <w:szCs w:val="18"/>
              </w:rPr>
              <w:t>IN)</w:t>
            </w:r>
          </w:p>
          <w:p w14:paraId="10896E3D" w14:textId="61449540" w:rsidR="005B6015" w:rsidRPr="00F31E3A" w:rsidRDefault="005B6015" w:rsidP="003921EE">
            <w:pPr>
              <w:spacing w:after="0" w:line="240" w:lineRule="auto"/>
              <w:ind w:firstLine="0"/>
              <w:rPr>
                <w:rFonts w:eastAsia="Wingdings"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X</w:t>
            </w:r>
            <w:r w:rsidRPr="00F31E3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31E3A">
              <w:rPr>
                <w:rFonts w:cs="Arial"/>
                <w:sz w:val="18"/>
                <w:szCs w:val="18"/>
              </w:rPr>
              <w:t>programma di monitoraggio e/o ricerca (</w:t>
            </w:r>
            <w:r w:rsidRPr="00F31E3A">
              <w:rPr>
                <w:rFonts w:cs="Arial"/>
                <w:b/>
                <w:sz w:val="18"/>
                <w:szCs w:val="18"/>
              </w:rPr>
              <w:t>MR)</w:t>
            </w:r>
          </w:p>
          <w:p w14:paraId="0356C566" w14:textId="77777777" w:rsidR="005B6015" w:rsidRPr="00F31E3A" w:rsidRDefault="005B601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eastAsia="Wingdings" w:cs="Arial"/>
                <w:sz w:val="18"/>
                <w:szCs w:val="18"/>
              </w:rPr>
              <w:t></w:t>
            </w:r>
            <w:r w:rsidRPr="00F31E3A">
              <w:rPr>
                <w:rFonts w:eastAsia="Liberation Serif" w:cs="Arial"/>
                <w:sz w:val="18"/>
                <w:szCs w:val="18"/>
              </w:rPr>
              <w:t xml:space="preserve"> </w:t>
            </w:r>
            <w:r w:rsidRPr="00F31E3A">
              <w:rPr>
                <w:rFonts w:cs="Arial"/>
                <w:sz w:val="18"/>
                <w:szCs w:val="18"/>
              </w:rPr>
              <w:t>programma di educazione e di informazione (</w:t>
            </w:r>
            <w:r w:rsidRPr="00F31E3A">
              <w:rPr>
                <w:rFonts w:cs="Arial"/>
                <w:b/>
                <w:sz w:val="18"/>
                <w:szCs w:val="18"/>
              </w:rPr>
              <w:t>PD)</w:t>
            </w:r>
          </w:p>
        </w:tc>
      </w:tr>
      <w:tr w:rsidR="005B6015" w:rsidRPr="00F31E3A" w14:paraId="3F954946" w14:textId="77777777" w:rsidTr="003921EE">
        <w:tblPrEx>
          <w:tblCellMar>
            <w:left w:w="0" w:type="dxa"/>
            <w:right w:w="0" w:type="dxa"/>
          </w:tblCellMar>
        </w:tblPrEx>
        <w:trPr>
          <w:cantSplit/>
          <w:trHeight w:val="284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D8E2" w14:textId="77777777" w:rsidR="005B6015" w:rsidRPr="00F31E3A" w:rsidRDefault="005B6015" w:rsidP="003921EE">
            <w:pPr>
              <w:snapToGrid w:val="0"/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Habitat /Specie Target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5217A" w14:textId="77777777" w:rsidR="005B6015" w:rsidRPr="00F31E3A" w:rsidRDefault="005B6015" w:rsidP="003921EE">
            <w:pPr>
              <w:snapToGrid w:val="0"/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eastAsia="Wingdings" w:cs="Arial"/>
                <w:b/>
                <w:sz w:val="18"/>
                <w:szCs w:val="18"/>
              </w:rPr>
              <w:t>Habitat</w:t>
            </w: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23B2F" w14:textId="77777777" w:rsidR="005B6015" w:rsidRPr="00F31E3A" w:rsidRDefault="005B6015" w:rsidP="003921EE">
            <w:pPr>
              <w:snapToGrid w:val="0"/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eastAsia="Wingdings" w:cs="Arial"/>
                <w:b/>
                <w:sz w:val="18"/>
                <w:szCs w:val="18"/>
              </w:rPr>
              <w:t>Specie</w:t>
            </w:r>
          </w:p>
        </w:tc>
      </w:tr>
      <w:tr w:rsidR="005B6015" w:rsidRPr="00B0704B" w14:paraId="53098057" w14:textId="77777777" w:rsidTr="003921EE">
        <w:tblPrEx>
          <w:tblCellMar>
            <w:left w:w="0" w:type="dxa"/>
            <w:right w:w="0" w:type="dxa"/>
          </w:tblCellMar>
        </w:tblPrEx>
        <w:trPr>
          <w:cantSplit/>
          <w:trHeight w:val="284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8DC0B" w14:textId="77777777" w:rsidR="005B6015" w:rsidRPr="00F31E3A" w:rsidRDefault="005B6015" w:rsidP="003921EE">
            <w:pPr>
              <w:snapToGrid w:val="0"/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E7521" w14:textId="77777777" w:rsidR="005B6015" w:rsidRPr="00F31E3A" w:rsidRDefault="005B6015" w:rsidP="003921EE">
            <w:pPr>
              <w:snapToGrid w:val="0"/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03262" w14:textId="11F70414" w:rsidR="005B6015" w:rsidRPr="00B0704B" w:rsidRDefault="00B0704B" w:rsidP="004B7760">
            <w:pPr>
              <w:snapToGrid w:val="0"/>
              <w:spacing w:after="0" w:line="240" w:lineRule="auto"/>
              <w:ind w:firstLine="0"/>
              <w:rPr>
                <w:rFonts w:cs="Arial"/>
                <w:i/>
                <w:iCs/>
                <w:sz w:val="18"/>
                <w:szCs w:val="18"/>
              </w:rPr>
            </w:pP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Accipiter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nisus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Asio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flammeus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Buteo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buteo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Ciconia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ciconia</w:t>
            </w:r>
            <w:proofErr w:type="spellEnd"/>
            <w:r w:rsidR="004B7760"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>Ciconia nigra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Circaetus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gallicus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>, Circus</w:t>
            </w:r>
            <w:r w:rsidR="004B7760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aeruginosus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, Circus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cyaneus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, Circus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macrourus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Circus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pygargus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Crex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crex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Egretta garzetta, Falco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biarmicus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Falco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columbarius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Falco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naumanni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Falco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peregrinus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>Falco subbuteo</w:t>
            </w:r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Falco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tinnunculus</w:t>
            </w:r>
            <w:proofErr w:type="spellEnd"/>
            <w:r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Falco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vespertinus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Milvus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migrans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Milvus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milvus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,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Pernis</w:t>
            </w:r>
            <w:proofErr w:type="spellEnd"/>
            <w:r w:rsidRPr="00B0704B">
              <w:rPr>
                <w:rFonts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B0704B">
              <w:rPr>
                <w:rFonts w:cs="Arial"/>
                <w:i/>
                <w:iCs/>
                <w:sz w:val="18"/>
                <w:szCs w:val="18"/>
              </w:rPr>
              <w:t>apivorus</w:t>
            </w:r>
            <w:proofErr w:type="spellEnd"/>
          </w:p>
        </w:tc>
      </w:tr>
      <w:tr w:rsidR="005B6015" w:rsidRPr="00F31E3A" w14:paraId="72635A85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8D5FED" w14:textId="77777777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Pressione/Minaccia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5C42B" w14:textId="77777777" w:rsidR="005B6015" w:rsidRPr="00F31E3A" w:rsidRDefault="005B601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sz w:val="18"/>
                <w:szCs w:val="18"/>
              </w:rPr>
              <w:t>PD06</w:t>
            </w:r>
          </w:p>
        </w:tc>
      </w:tr>
      <w:tr w:rsidR="005B6015" w:rsidRPr="00F31E3A" w14:paraId="0BBC00E6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94834C" w14:textId="77777777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Localizzazione ed eventuale stralcio cartografico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DDE0B" w14:textId="166C5F84" w:rsidR="005B6015" w:rsidRPr="00F31E3A" w:rsidRDefault="005B601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sz w:val="18"/>
                <w:szCs w:val="18"/>
              </w:rPr>
              <w:t>Tutto il sito</w:t>
            </w:r>
            <w:r w:rsidR="00B20057">
              <w:rPr>
                <w:rFonts w:cs="Arial"/>
                <w:sz w:val="18"/>
                <w:szCs w:val="18"/>
              </w:rPr>
              <w:t xml:space="preserve"> (in corrispondenza delle linee elettriche di media</w:t>
            </w:r>
            <w:r w:rsidR="00766019">
              <w:rPr>
                <w:rFonts w:cs="Arial"/>
                <w:sz w:val="18"/>
                <w:szCs w:val="18"/>
              </w:rPr>
              <w:t xml:space="preserve"> </w:t>
            </w:r>
            <w:proofErr w:type="gramStart"/>
            <w:r w:rsidR="00766019">
              <w:rPr>
                <w:rFonts w:cs="Arial"/>
                <w:sz w:val="18"/>
                <w:szCs w:val="18"/>
              </w:rPr>
              <w:t>e</w:t>
            </w:r>
            <w:proofErr w:type="gramEnd"/>
            <w:r w:rsidR="00766019">
              <w:rPr>
                <w:rFonts w:cs="Arial"/>
                <w:sz w:val="18"/>
                <w:szCs w:val="18"/>
              </w:rPr>
              <w:t xml:space="preserve"> eventual</w:t>
            </w:r>
            <w:r w:rsidR="00C92145">
              <w:rPr>
                <w:rFonts w:cs="Arial"/>
                <w:sz w:val="18"/>
                <w:szCs w:val="18"/>
              </w:rPr>
              <w:t>mente di</w:t>
            </w:r>
            <w:r w:rsidR="00766019">
              <w:rPr>
                <w:rFonts w:cs="Arial"/>
                <w:sz w:val="18"/>
                <w:szCs w:val="18"/>
              </w:rPr>
              <w:t xml:space="preserve"> bassa tensione con cavi nudi</w:t>
            </w:r>
            <w:r w:rsidR="00B20057">
              <w:rPr>
                <w:rFonts w:cs="Arial"/>
                <w:sz w:val="18"/>
                <w:szCs w:val="18"/>
              </w:rPr>
              <w:t>)</w:t>
            </w:r>
          </w:p>
        </w:tc>
      </w:tr>
      <w:tr w:rsidR="005B6015" w:rsidRPr="00F31E3A" w14:paraId="6BD4B4D0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67B342C" w14:textId="77777777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Descrizione dello stato attuale e contestualizzazione dell’azione nel Piano di gestione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D53CC" w14:textId="39C5A4F2" w:rsidR="005B6015" w:rsidRPr="00F31E3A" w:rsidRDefault="00B0704B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B0704B">
              <w:rPr>
                <w:rFonts w:cs="Arial"/>
                <w:sz w:val="18"/>
                <w:szCs w:val="18"/>
              </w:rPr>
              <w:t>Nella ZPS sono presenti diverse linee elettriche in cavo nudo che determinano una pressione per le specie di avifauna sia nidificante, svernante che in migrazione a causa del rischio di collisione ed elettrocuzione</w:t>
            </w:r>
            <w:r w:rsidR="00C0566F">
              <w:rPr>
                <w:rFonts w:cs="Arial"/>
                <w:sz w:val="18"/>
                <w:szCs w:val="18"/>
              </w:rPr>
              <w:t>.</w:t>
            </w:r>
          </w:p>
        </w:tc>
      </w:tr>
      <w:tr w:rsidR="005B6015" w:rsidRPr="00F31E3A" w14:paraId="4771D7C2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A298B91" w14:textId="77777777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Indicatori di stato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06DC2B32" w14:textId="1368CAEF" w:rsidR="005B6015" w:rsidRPr="00F31E3A" w:rsidRDefault="00535783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Attuazione del monitoraggio</w:t>
            </w:r>
          </w:p>
        </w:tc>
      </w:tr>
      <w:tr w:rsidR="005B6015" w:rsidRPr="00F31E3A" w14:paraId="06E43212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6F08F6" w14:textId="77777777" w:rsidR="005B6015" w:rsidRPr="00F31E3A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Finalità dell’azione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FB7BD41" w14:textId="27F82532" w:rsidR="005B6015" w:rsidRPr="00F31E3A" w:rsidRDefault="00535783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Verificare la riduzione del numero di eventi di collisioni </w:t>
            </w:r>
            <w:proofErr w:type="gramStart"/>
            <w:r>
              <w:rPr>
                <w:rFonts w:cs="Arial"/>
                <w:sz w:val="18"/>
                <w:szCs w:val="18"/>
              </w:rPr>
              <w:t>e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elettrocuzioni</w:t>
            </w:r>
          </w:p>
        </w:tc>
      </w:tr>
      <w:tr w:rsidR="005B6015" w:rsidRPr="00F31E3A" w14:paraId="467CF26D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618CA4" w14:textId="77777777" w:rsidR="005B6015" w:rsidRPr="00A21F23" w:rsidRDefault="005B6015" w:rsidP="003921EE">
            <w:pPr>
              <w:spacing w:after="0" w:line="240" w:lineRule="auto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A21F23">
              <w:rPr>
                <w:rFonts w:cs="Arial"/>
                <w:b/>
                <w:sz w:val="18"/>
                <w:szCs w:val="18"/>
              </w:rPr>
              <w:t>Descrizione dell’azione e programma operativo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C89B2" w14:textId="77777777" w:rsidR="004B7760" w:rsidRDefault="00B20057" w:rsidP="00B20057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Avvio di un m</w:t>
            </w:r>
            <w:r w:rsidR="007E0A1C" w:rsidRPr="00A21F23">
              <w:rPr>
                <w:rFonts w:cs="Arial"/>
                <w:sz w:val="18"/>
                <w:szCs w:val="18"/>
              </w:rPr>
              <w:t xml:space="preserve">onitoraggio </w:t>
            </w:r>
            <w:r>
              <w:rPr>
                <w:rFonts w:cs="Arial"/>
                <w:sz w:val="18"/>
                <w:szCs w:val="18"/>
              </w:rPr>
              <w:t>dell’impatto sull’</w:t>
            </w:r>
            <w:r w:rsidR="007E0A1C" w:rsidRPr="00A21F23">
              <w:rPr>
                <w:rFonts w:cs="Arial"/>
                <w:sz w:val="18"/>
                <w:szCs w:val="18"/>
              </w:rPr>
              <w:t>avifauna</w:t>
            </w:r>
            <w:r>
              <w:rPr>
                <w:rFonts w:cs="Arial"/>
                <w:sz w:val="18"/>
                <w:szCs w:val="18"/>
              </w:rPr>
              <w:t xml:space="preserve"> degli</w:t>
            </w:r>
            <w:r w:rsidR="007E0A1C" w:rsidRPr="00A21F23">
              <w:rPr>
                <w:rFonts w:cs="Arial"/>
                <w:sz w:val="18"/>
                <w:szCs w:val="18"/>
              </w:rPr>
              <w:t xml:space="preserve"> elettrodotti </w:t>
            </w:r>
            <w:r>
              <w:rPr>
                <w:rFonts w:cs="Arial"/>
                <w:sz w:val="18"/>
                <w:szCs w:val="18"/>
              </w:rPr>
              <w:t xml:space="preserve">presenti sul territorio. </w:t>
            </w:r>
          </w:p>
          <w:p w14:paraId="6C64F197" w14:textId="4C642F6F" w:rsidR="005B6015" w:rsidRDefault="00B20057" w:rsidP="00B20057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Il monitoraggio della durata minima di </w:t>
            </w:r>
            <w:proofErr w:type="gramStart"/>
            <w:r>
              <w:rPr>
                <w:rFonts w:cs="Arial"/>
                <w:sz w:val="18"/>
                <w:szCs w:val="18"/>
              </w:rPr>
              <w:t>3</w:t>
            </w:r>
            <w:proofErr w:type="gramEnd"/>
            <w:r>
              <w:rPr>
                <w:rFonts w:cs="Arial"/>
                <w:sz w:val="18"/>
                <w:szCs w:val="18"/>
              </w:rPr>
              <w:t xml:space="preserve"> anni dovrà </w:t>
            </w:r>
            <w:r w:rsidR="004B7760">
              <w:rPr>
                <w:rFonts w:cs="Arial"/>
                <w:sz w:val="18"/>
                <w:szCs w:val="18"/>
              </w:rPr>
              <w:t xml:space="preserve">avere l’obiettivo di </w:t>
            </w:r>
          </w:p>
          <w:p w14:paraId="3EBBD929" w14:textId="56BB395F" w:rsidR="004B7760" w:rsidRDefault="004B7760" w:rsidP="00A16452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250" w:hanging="142"/>
              <w:rPr>
                <w:rFonts w:cs="Arial"/>
                <w:sz w:val="18"/>
                <w:szCs w:val="18"/>
              </w:rPr>
            </w:pPr>
            <w:r w:rsidRPr="004B7760">
              <w:rPr>
                <w:rFonts w:cs="Arial"/>
                <w:sz w:val="18"/>
                <w:szCs w:val="18"/>
              </w:rPr>
              <w:t>acquisire informazioni sulla mortalità causata da collisione con i conduttori</w:t>
            </w:r>
            <w:r>
              <w:rPr>
                <w:rFonts w:cs="Arial"/>
                <w:sz w:val="18"/>
                <w:szCs w:val="18"/>
              </w:rPr>
              <w:t>,</w:t>
            </w:r>
          </w:p>
          <w:p w14:paraId="7E37B1AC" w14:textId="6794C4D4" w:rsidR="004B7760" w:rsidRDefault="004B7760" w:rsidP="00A16452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250" w:hanging="142"/>
              <w:rPr>
                <w:rFonts w:cs="Arial"/>
                <w:sz w:val="18"/>
                <w:szCs w:val="18"/>
              </w:rPr>
            </w:pPr>
            <w:r w:rsidRPr="004B7760">
              <w:rPr>
                <w:rFonts w:cs="Arial"/>
                <w:sz w:val="18"/>
                <w:szCs w:val="18"/>
              </w:rPr>
              <w:t>stimare indici di mortalità</w:t>
            </w:r>
            <w:r>
              <w:rPr>
                <w:rFonts w:cs="Arial"/>
                <w:sz w:val="18"/>
                <w:szCs w:val="18"/>
              </w:rPr>
              <w:t>,</w:t>
            </w:r>
            <w:r w:rsidRPr="004B7760">
              <w:rPr>
                <w:rFonts w:cs="Arial"/>
                <w:sz w:val="18"/>
                <w:szCs w:val="18"/>
              </w:rPr>
              <w:t xml:space="preserve"> </w:t>
            </w:r>
          </w:p>
          <w:p w14:paraId="20960491" w14:textId="202384ED" w:rsidR="004B7760" w:rsidRPr="004B7760" w:rsidRDefault="004B7760" w:rsidP="00A16452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250" w:hanging="142"/>
              <w:rPr>
                <w:rFonts w:cs="Arial"/>
                <w:sz w:val="18"/>
                <w:szCs w:val="18"/>
              </w:rPr>
            </w:pPr>
            <w:r w:rsidRPr="004B7760">
              <w:rPr>
                <w:rFonts w:cs="Arial"/>
                <w:sz w:val="18"/>
                <w:szCs w:val="18"/>
              </w:rPr>
              <w:t>individuare le zone</w:t>
            </w:r>
            <w:r>
              <w:rPr>
                <w:rFonts w:cs="Arial"/>
                <w:sz w:val="18"/>
                <w:szCs w:val="18"/>
              </w:rPr>
              <w:t>,</w:t>
            </w:r>
            <w:r w:rsidRPr="004B7760">
              <w:rPr>
                <w:rFonts w:cs="Arial"/>
                <w:sz w:val="18"/>
                <w:szCs w:val="18"/>
              </w:rPr>
              <w:t xml:space="preserve"> i periodi </w:t>
            </w:r>
            <w:r>
              <w:rPr>
                <w:rFonts w:cs="Arial"/>
                <w:sz w:val="18"/>
                <w:szCs w:val="18"/>
              </w:rPr>
              <w:t xml:space="preserve">e le condizioni </w:t>
            </w:r>
            <w:r w:rsidRPr="004B7760">
              <w:rPr>
                <w:rFonts w:cs="Arial"/>
                <w:sz w:val="18"/>
                <w:szCs w:val="18"/>
              </w:rPr>
              <w:t xml:space="preserve">che causano maggiore mortalità. </w:t>
            </w:r>
          </w:p>
          <w:p w14:paraId="615CF702" w14:textId="7888AD59" w:rsidR="004B7760" w:rsidRPr="00A16452" w:rsidRDefault="004B7760" w:rsidP="00A16452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4B7760">
              <w:rPr>
                <w:rFonts w:cs="Arial"/>
                <w:sz w:val="18"/>
                <w:szCs w:val="18"/>
              </w:rPr>
              <w:t xml:space="preserve">Il monitoraggio si </w:t>
            </w:r>
            <w:r>
              <w:rPr>
                <w:rFonts w:cs="Arial"/>
                <w:sz w:val="18"/>
                <w:szCs w:val="18"/>
              </w:rPr>
              <w:t xml:space="preserve">dovrà </w:t>
            </w:r>
            <w:r w:rsidRPr="004B7760">
              <w:rPr>
                <w:rFonts w:cs="Arial"/>
                <w:sz w:val="18"/>
                <w:szCs w:val="18"/>
              </w:rPr>
              <w:t>basa</w:t>
            </w:r>
            <w:r>
              <w:rPr>
                <w:rFonts w:cs="Arial"/>
                <w:sz w:val="18"/>
                <w:szCs w:val="18"/>
              </w:rPr>
              <w:t>re</w:t>
            </w:r>
            <w:r w:rsidRPr="004B7760">
              <w:rPr>
                <w:rFonts w:cs="Arial"/>
                <w:sz w:val="18"/>
                <w:szCs w:val="18"/>
              </w:rPr>
              <w:t xml:space="preserve"> sulla ricerca delle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4B7760">
              <w:rPr>
                <w:rFonts w:cs="Arial"/>
                <w:sz w:val="18"/>
                <w:szCs w:val="18"/>
              </w:rPr>
              <w:t>carcasse di animali, presumibilmente collisi</w:t>
            </w:r>
            <w:r>
              <w:rPr>
                <w:rFonts w:cs="Arial"/>
                <w:sz w:val="18"/>
                <w:szCs w:val="18"/>
              </w:rPr>
              <w:t xml:space="preserve"> o folgorati</w:t>
            </w:r>
            <w:r w:rsidRPr="004B7760">
              <w:rPr>
                <w:rFonts w:cs="Arial"/>
                <w:sz w:val="18"/>
                <w:szCs w:val="18"/>
              </w:rPr>
              <w:t xml:space="preserve">, secondo un protocollo d’ispezione </w:t>
            </w:r>
            <w:r>
              <w:rPr>
                <w:rFonts w:cs="Arial"/>
                <w:sz w:val="18"/>
                <w:szCs w:val="18"/>
              </w:rPr>
              <w:t xml:space="preserve">in linea con quanto </w:t>
            </w:r>
            <w:r w:rsidR="00546D0A">
              <w:rPr>
                <w:rFonts w:cs="Arial"/>
                <w:sz w:val="18"/>
                <w:szCs w:val="18"/>
              </w:rPr>
              <w:t xml:space="preserve">previsto </w:t>
            </w:r>
            <w:r>
              <w:rPr>
                <w:rFonts w:cs="Arial"/>
                <w:sz w:val="18"/>
                <w:szCs w:val="18"/>
              </w:rPr>
              <w:t>nei principali documenti di riferimento</w:t>
            </w:r>
            <w:r w:rsidR="00A16452">
              <w:rPr>
                <w:rFonts w:cs="Arial"/>
                <w:sz w:val="18"/>
                <w:szCs w:val="18"/>
              </w:rPr>
              <w:t xml:space="preserve"> riportati nella sezione della </w:t>
            </w:r>
            <w:r w:rsidR="00A16452" w:rsidRPr="00D86A5F">
              <w:rPr>
                <w:rFonts w:cs="Arial"/>
                <w:sz w:val="18"/>
                <w:szCs w:val="18"/>
              </w:rPr>
              <w:t>presente scheda “Riferimenti e allegati tecnici”</w:t>
            </w:r>
            <w:r w:rsidRPr="00D86A5F">
              <w:rPr>
                <w:rFonts w:cs="Arial"/>
                <w:sz w:val="18"/>
                <w:szCs w:val="18"/>
              </w:rPr>
              <w:t>.</w:t>
            </w:r>
          </w:p>
        </w:tc>
      </w:tr>
      <w:tr w:rsidR="00A21F23" w:rsidRPr="00F31E3A" w14:paraId="636C690E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6D0C40" w14:textId="77777777" w:rsidR="00A21F23" w:rsidRPr="00F31E3A" w:rsidRDefault="00A21F23" w:rsidP="00A21F2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Descrizione dei risultati attesi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BC61E" w14:textId="556A02DA" w:rsidR="00A21F23" w:rsidRPr="00F31E3A" w:rsidRDefault="00A21F23" w:rsidP="00A21F23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AB384D">
              <w:rPr>
                <w:rFonts w:cs="Arial"/>
                <w:sz w:val="18"/>
                <w:szCs w:val="18"/>
              </w:rPr>
              <w:t>Mantenimento/miglioramento del grado di conservazione del</w:t>
            </w:r>
            <w:r>
              <w:rPr>
                <w:rFonts w:cs="Arial"/>
                <w:sz w:val="18"/>
                <w:szCs w:val="18"/>
              </w:rPr>
              <w:t>le specie</w:t>
            </w:r>
            <w:r w:rsidRPr="00AB384D">
              <w:rPr>
                <w:rFonts w:cs="Arial"/>
                <w:sz w:val="18"/>
                <w:szCs w:val="18"/>
              </w:rPr>
              <w:t xml:space="preserve"> target</w:t>
            </w:r>
          </w:p>
        </w:tc>
      </w:tr>
      <w:tr w:rsidR="005B6015" w:rsidRPr="00F31E3A" w14:paraId="5D232C0C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07172D" w14:textId="77777777" w:rsidR="005B6015" w:rsidRPr="00F31E3A" w:rsidRDefault="005B601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Interessi economici coinvolti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0F211" w14:textId="215D8951" w:rsidR="005B6015" w:rsidRPr="00F31E3A" w:rsidRDefault="005B601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5B6015" w:rsidRPr="00F31E3A" w14:paraId="7074CE7F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4466CD8" w14:textId="77777777" w:rsidR="005B6015" w:rsidRPr="00F31E3A" w:rsidRDefault="005B601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DC022D">
              <w:rPr>
                <w:rFonts w:cs="Arial"/>
                <w:b/>
                <w:sz w:val="18"/>
                <w:szCs w:val="18"/>
              </w:rPr>
              <w:t>Soggetti attuatori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CA859E" w14:textId="6BA997E1" w:rsidR="005B6015" w:rsidRPr="00F31E3A" w:rsidRDefault="00C0566F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Ente </w:t>
            </w:r>
            <w:r w:rsidR="005B6015" w:rsidRPr="00DC022D">
              <w:rPr>
                <w:rFonts w:cs="Arial"/>
                <w:sz w:val="18"/>
                <w:szCs w:val="18"/>
              </w:rPr>
              <w:t>gestore</w:t>
            </w:r>
          </w:p>
        </w:tc>
      </w:tr>
      <w:tr w:rsidR="005B6015" w:rsidRPr="00F31E3A" w14:paraId="3AEB626F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C22BEA5" w14:textId="77777777" w:rsidR="005B6015" w:rsidRPr="00F31E3A" w:rsidRDefault="005B601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Priorità dell’azione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897FB" w14:textId="671112E2" w:rsidR="005B6015" w:rsidRPr="00F31E3A" w:rsidRDefault="00A16452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Alta</w:t>
            </w:r>
          </w:p>
        </w:tc>
      </w:tr>
      <w:tr w:rsidR="005B6015" w:rsidRPr="00F31E3A" w14:paraId="66A1F60D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2C05AD" w14:textId="77777777" w:rsidR="005B6015" w:rsidRPr="00F31E3A" w:rsidRDefault="005B601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Tempi e stima dei costi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2B761" w14:textId="602A9799" w:rsidR="005B6015" w:rsidRPr="00F31E3A" w:rsidRDefault="00B20057" w:rsidP="003921EE">
            <w:pPr>
              <w:tabs>
                <w:tab w:val="left" w:pos="541"/>
              </w:tabs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236E22">
              <w:rPr>
                <w:rFonts w:cs="Arial"/>
                <w:sz w:val="18"/>
                <w:szCs w:val="18"/>
              </w:rPr>
              <w:t xml:space="preserve">Da avviare entro 3 anni Costo: </w:t>
            </w:r>
            <w:r>
              <w:rPr>
                <w:rFonts w:cs="Arial"/>
                <w:sz w:val="18"/>
                <w:szCs w:val="18"/>
              </w:rPr>
              <w:t xml:space="preserve">5000 </w:t>
            </w:r>
            <w:r w:rsidRPr="00236E22">
              <w:rPr>
                <w:rFonts w:cs="Arial"/>
                <w:sz w:val="18"/>
                <w:szCs w:val="18"/>
              </w:rPr>
              <w:t>€ (annui)</w:t>
            </w:r>
          </w:p>
        </w:tc>
      </w:tr>
      <w:tr w:rsidR="005B6015" w:rsidRPr="00F31E3A" w14:paraId="54FCDCEA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E694DA0" w14:textId="77777777" w:rsidR="005B6015" w:rsidRPr="00F31E3A" w:rsidRDefault="005B601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Riferimenti programmatici e linee di finanziamento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3EB75" w14:textId="5675D775" w:rsidR="005B6015" w:rsidRPr="00F31E3A" w:rsidRDefault="00C0566F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Risorse regionali</w:t>
            </w:r>
          </w:p>
        </w:tc>
      </w:tr>
      <w:tr w:rsidR="005B6015" w:rsidRPr="00F31E3A" w14:paraId="2F650CF0" w14:textId="77777777" w:rsidTr="003921EE">
        <w:trPr>
          <w:cantSplit/>
          <w:trHeight w:val="284"/>
        </w:trPr>
        <w:tc>
          <w:tcPr>
            <w:tcW w:w="20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B3EF0D" w14:textId="77777777" w:rsidR="005B6015" w:rsidRPr="00F31E3A" w:rsidRDefault="005B6015" w:rsidP="003921EE">
            <w:pPr>
              <w:spacing w:after="0" w:line="240" w:lineRule="auto"/>
              <w:ind w:firstLine="0"/>
              <w:rPr>
                <w:rFonts w:cs="Arial"/>
                <w:sz w:val="18"/>
                <w:szCs w:val="18"/>
              </w:rPr>
            </w:pPr>
            <w:r w:rsidRPr="00F31E3A">
              <w:rPr>
                <w:rFonts w:cs="Arial"/>
                <w:b/>
                <w:sz w:val="18"/>
                <w:szCs w:val="18"/>
              </w:rPr>
              <w:t>Riferimenti e allegati tecnici</w:t>
            </w:r>
          </w:p>
        </w:tc>
        <w:tc>
          <w:tcPr>
            <w:tcW w:w="754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9DF67" w14:textId="77777777" w:rsidR="00A16452" w:rsidRPr="00A16452" w:rsidRDefault="00A16452" w:rsidP="00A1645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8" w:hanging="108"/>
              <w:rPr>
                <w:rFonts w:cs="Arial"/>
                <w:sz w:val="18"/>
                <w:szCs w:val="18"/>
              </w:rPr>
            </w:pPr>
            <w:r w:rsidRPr="00A16452">
              <w:rPr>
                <w:rFonts w:cs="Arial"/>
                <w:sz w:val="18"/>
                <w:szCs w:val="18"/>
              </w:rPr>
              <w:t>Linee Guida per la mitigazione dell’impatto delle linee elettriche sull’avifauna – ISPRA 2008</w:t>
            </w:r>
          </w:p>
          <w:p w14:paraId="68FC290A" w14:textId="77777777" w:rsidR="00A16452" w:rsidRPr="00A16452" w:rsidRDefault="00A16452" w:rsidP="00A1645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8" w:hanging="108"/>
              <w:rPr>
                <w:rFonts w:cs="Arial"/>
                <w:sz w:val="18"/>
                <w:szCs w:val="18"/>
              </w:rPr>
            </w:pPr>
            <w:r w:rsidRPr="00A16452">
              <w:rPr>
                <w:rFonts w:cs="Arial"/>
                <w:sz w:val="18"/>
                <w:szCs w:val="18"/>
              </w:rPr>
              <w:t>Protocollo per il rilevamento e il monitoraggio di uccelli collisi con le linee elettriche (Dell’Omo G. &amp; Moiana L., 2013)</w:t>
            </w:r>
          </w:p>
          <w:p w14:paraId="28E68ABC" w14:textId="2CBF4E6F" w:rsidR="005B6015" w:rsidRPr="00A16452" w:rsidRDefault="00A16452" w:rsidP="00A1645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108" w:hanging="108"/>
              <w:rPr>
                <w:rFonts w:cs="Arial"/>
                <w:sz w:val="18"/>
                <w:szCs w:val="18"/>
              </w:rPr>
            </w:pPr>
            <w:r w:rsidRPr="00A16452">
              <w:rPr>
                <w:rFonts w:cs="Arial"/>
                <w:sz w:val="18"/>
                <w:szCs w:val="18"/>
              </w:rPr>
              <w:t xml:space="preserve">Rapporto Ricerca di sistema «Progetto BIODIVERSITA’» l’impatto delle linee elettriche sull’avifauna (Garavaglia &amp; </w:t>
            </w:r>
            <w:proofErr w:type="spellStart"/>
            <w:r w:rsidRPr="00A16452">
              <w:rPr>
                <w:rFonts w:cs="Arial"/>
                <w:sz w:val="18"/>
                <w:szCs w:val="18"/>
              </w:rPr>
              <w:t>Rubolini</w:t>
            </w:r>
            <w:proofErr w:type="spellEnd"/>
            <w:r w:rsidRPr="00A16452">
              <w:rPr>
                <w:rFonts w:cs="Arial"/>
                <w:sz w:val="18"/>
                <w:szCs w:val="18"/>
              </w:rPr>
              <w:t>, 2000)</w:t>
            </w:r>
          </w:p>
        </w:tc>
      </w:tr>
      <w:bookmarkEnd w:id="0"/>
    </w:tbl>
    <w:p w14:paraId="52AE2755" w14:textId="77777777" w:rsidR="002764C6" w:rsidRDefault="002764C6"/>
    <w:sectPr w:rsidR="002764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F46511"/>
    <w:multiLevelType w:val="hybridMultilevel"/>
    <w:tmpl w:val="06789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CC7FF9"/>
    <w:multiLevelType w:val="hybridMultilevel"/>
    <w:tmpl w:val="69CAF4A4"/>
    <w:lvl w:ilvl="0" w:tplc="7A42BC4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439B7"/>
    <w:multiLevelType w:val="hybridMultilevel"/>
    <w:tmpl w:val="58F05184"/>
    <w:lvl w:ilvl="0" w:tplc="F822EA02">
      <w:start w:val="1"/>
      <w:numFmt w:val="decimal"/>
      <w:suff w:val="nothing"/>
      <w:lvlText w:val="Azione %1."/>
      <w:lvlJc w:val="center"/>
      <w:pPr>
        <w:ind w:left="927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C6D0D9A"/>
    <w:multiLevelType w:val="hybridMultilevel"/>
    <w:tmpl w:val="AFFAACB0"/>
    <w:lvl w:ilvl="0" w:tplc="7A42BC4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F445A"/>
    <w:multiLevelType w:val="multilevel"/>
    <w:tmpl w:val="84066018"/>
    <w:lvl w:ilvl="0">
      <w:start w:val="1"/>
      <w:numFmt w:val="decimal"/>
      <w:lvlText w:val="%1"/>
      <w:lvlJc w:val="left"/>
      <w:pPr>
        <w:ind w:left="715" w:hanging="432"/>
      </w:pPr>
      <w:rPr>
        <w:i w:val="0"/>
        <w:iCs w:val="0"/>
        <w:sz w:val="36"/>
        <w:szCs w:val="36"/>
      </w:rPr>
    </w:lvl>
    <w:lvl w:ilvl="1">
      <w:start w:val="1"/>
      <w:numFmt w:val="decimal"/>
      <w:pStyle w:val="Titolo2"/>
      <w:lvlText w:val="%1.%2"/>
      <w:lvlJc w:val="left"/>
      <w:pPr>
        <w:ind w:left="2277" w:hanging="576"/>
      </w:pPr>
      <w:rPr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279" w:hanging="720"/>
      </w:pPr>
      <w:rPr>
        <w:i w:val="0"/>
        <w:i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851799192">
    <w:abstractNumId w:val="4"/>
  </w:num>
  <w:num w:numId="2" w16cid:durableId="1671060808">
    <w:abstractNumId w:val="4"/>
  </w:num>
  <w:num w:numId="3" w16cid:durableId="1786539370">
    <w:abstractNumId w:val="2"/>
  </w:num>
  <w:num w:numId="4" w16cid:durableId="157313202">
    <w:abstractNumId w:val="3"/>
  </w:num>
  <w:num w:numId="5" w16cid:durableId="365910730">
    <w:abstractNumId w:val="1"/>
  </w:num>
  <w:num w:numId="6" w16cid:durableId="1493183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015"/>
    <w:rsid w:val="00051ADA"/>
    <w:rsid w:val="000F67B7"/>
    <w:rsid w:val="002764C6"/>
    <w:rsid w:val="003F73CA"/>
    <w:rsid w:val="004B7760"/>
    <w:rsid w:val="004E6EFA"/>
    <w:rsid w:val="004F70B0"/>
    <w:rsid w:val="00535783"/>
    <w:rsid w:val="00546D0A"/>
    <w:rsid w:val="005B6015"/>
    <w:rsid w:val="006B2FA6"/>
    <w:rsid w:val="00726991"/>
    <w:rsid w:val="00766019"/>
    <w:rsid w:val="007A0CB8"/>
    <w:rsid w:val="007E0A1C"/>
    <w:rsid w:val="008D34C2"/>
    <w:rsid w:val="00A16452"/>
    <w:rsid w:val="00A21F23"/>
    <w:rsid w:val="00AF12CF"/>
    <w:rsid w:val="00B0704B"/>
    <w:rsid w:val="00B16EF6"/>
    <w:rsid w:val="00B20057"/>
    <w:rsid w:val="00C0566F"/>
    <w:rsid w:val="00C92145"/>
    <w:rsid w:val="00D8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AF07"/>
  <w15:chartTrackingRefBased/>
  <w15:docId w15:val="{8372D0D4-0885-450B-B0B9-57E0E9F4D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B6015"/>
    <w:pPr>
      <w:spacing w:after="120" w:line="360" w:lineRule="auto"/>
      <w:ind w:firstLine="284"/>
      <w:jc w:val="both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B60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26991"/>
    <w:pPr>
      <w:keepNext/>
      <w:keepLines/>
      <w:numPr>
        <w:ilvl w:val="1"/>
        <w:numId w:val="2"/>
      </w:numPr>
      <w:spacing w:before="80" w:after="0" w:line="240" w:lineRule="auto"/>
      <w:ind w:left="576"/>
      <w:outlineLvl w:val="1"/>
    </w:pPr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B60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B60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B60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B60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B60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B60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B60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726991"/>
    <w:rPr>
      <w:rFonts w:ascii="Garamond" w:eastAsiaTheme="majorEastAsia" w:hAnsi="Garamond" w:cstheme="majorBidi"/>
      <w:b/>
      <w:color w:val="000000" w:themeColor="text1"/>
      <w:sz w:val="32"/>
      <w:szCs w:val="2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B60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B60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B601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B601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B601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B601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B601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B601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B60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B60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B6015"/>
    <w:pPr>
      <w:numPr>
        <w:ilvl w:val="1"/>
      </w:numPr>
      <w:ind w:firstLine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B60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B60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B6015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99"/>
    <w:qFormat/>
    <w:rsid w:val="005B601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B601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B60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B601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B6015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rsid w:val="005B6015"/>
  </w:style>
  <w:style w:type="paragraph" w:styleId="Revisione">
    <w:name w:val="Revision"/>
    <w:hidden/>
    <w:uiPriority w:val="99"/>
    <w:semiHidden/>
    <w:rsid w:val="00766019"/>
    <w:pPr>
      <w:spacing w:after="0" w:line="240" w:lineRule="auto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8D34C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D34C2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D34C2"/>
    <w:rPr>
      <w:rFonts w:ascii="Arial" w:eastAsia="Times New Roman" w:hAnsi="Arial" w:cs="Times New Roman"/>
      <w:kern w:val="0"/>
      <w:sz w:val="20"/>
      <w:szCs w:val="20"/>
      <w:lang w:eastAsia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34C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34C2"/>
    <w:rPr>
      <w:rFonts w:ascii="Arial" w:eastAsia="Times New Roman" w:hAnsi="Arial" w:cs="Times New Roman"/>
      <w:b/>
      <w:bCs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oliva.federico</dc:creator>
  <cp:keywords/>
  <dc:description/>
  <cp:lastModifiedBy>silvia carletti</cp:lastModifiedBy>
  <cp:revision>9</cp:revision>
  <dcterms:created xsi:type="dcterms:W3CDTF">2024-03-22T11:45:00Z</dcterms:created>
  <dcterms:modified xsi:type="dcterms:W3CDTF">2024-08-20T14:15:00Z</dcterms:modified>
</cp:coreProperties>
</file>