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2606"/>
        <w:gridCol w:w="1083"/>
        <w:gridCol w:w="1266"/>
        <w:gridCol w:w="2421"/>
      </w:tblGrid>
      <w:tr w:rsidR="00306DA6" w:rsidRPr="005822AC" w14:paraId="23B1F712" w14:textId="77777777" w:rsidTr="003921EE">
        <w:trPr>
          <w:cantSplit/>
          <w:trHeight w:val="284"/>
        </w:trPr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2A1C7"/>
            <w:vAlign w:val="center"/>
          </w:tcPr>
          <w:p w14:paraId="6A488CFD" w14:textId="77777777" w:rsidR="00306DA6" w:rsidRPr="005822AC" w:rsidRDefault="00306DA6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Scheda</w:t>
            </w:r>
          </w:p>
          <w:p w14:paraId="7C55A477" w14:textId="77777777" w:rsidR="00306DA6" w:rsidRPr="005822AC" w:rsidRDefault="00306DA6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937245" w14:textId="77777777" w:rsidR="00306DA6" w:rsidRPr="005822AC" w:rsidRDefault="00306DA6" w:rsidP="003921EE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3F93C9D0" w14:textId="24929AAA" w:rsidR="00306DA6" w:rsidRPr="005822AC" w:rsidRDefault="00306DA6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306DA6" w:rsidRPr="005822AC" w14:paraId="61281088" w14:textId="77777777" w:rsidTr="003921EE">
        <w:trPr>
          <w:cantSplit/>
          <w:trHeight w:val="284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B2A1C7"/>
            <w:vAlign w:val="center"/>
          </w:tcPr>
          <w:p w14:paraId="7D604474" w14:textId="77777777" w:rsidR="00306DA6" w:rsidRPr="005822AC" w:rsidRDefault="00306DA6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2F0AF3" w14:textId="77777777" w:rsidR="00306DA6" w:rsidRPr="005822AC" w:rsidRDefault="00306DA6" w:rsidP="003921EE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34C41360" w14:textId="274420A9" w:rsidR="00306DA6" w:rsidRPr="005822AC" w:rsidRDefault="00306DA6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306DA6" w:rsidRPr="005822AC" w14:paraId="13160DBB" w14:textId="77777777" w:rsidTr="003921EE">
        <w:trPr>
          <w:cantSplit/>
          <w:trHeight w:val="284"/>
        </w:trPr>
        <w:tc>
          <w:tcPr>
            <w:tcW w:w="2127" w:type="dxa"/>
            <w:vMerge w:val="restart"/>
            <w:tcBorders>
              <w:left w:val="single" w:sz="6" w:space="0" w:color="000000"/>
            </w:tcBorders>
            <w:shd w:val="clear" w:color="auto" w:fill="B2A1C7"/>
            <w:vAlign w:val="center"/>
          </w:tcPr>
          <w:p w14:paraId="590F1642" w14:textId="77777777" w:rsidR="00306DA6" w:rsidRPr="005822AC" w:rsidRDefault="00306DA6" w:rsidP="00306DA6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D5CE8C" w14:textId="77777777" w:rsidR="00306DA6" w:rsidRPr="005822AC" w:rsidRDefault="00306DA6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0B9A2" w14:textId="1E5E3AE8" w:rsidR="00306DA6" w:rsidRPr="005822AC" w:rsidRDefault="00306DA6" w:rsidP="00306DA6">
            <w:pPr>
              <w:spacing w:after="0" w:line="240" w:lineRule="auto"/>
              <w:ind w:firstLine="0"/>
              <w:jc w:val="left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Monitoraggio periodico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b/>
                <w:sz w:val="18"/>
                <w:szCs w:val="18"/>
              </w:rPr>
              <w:t>habitat e specie per attività di</w:t>
            </w:r>
          </w:p>
          <w:p w14:paraId="20DE8160" w14:textId="77777777" w:rsidR="00306DA6" w:rsidRPr="005822AC" w:rsidRDefault="00306DA6" w:rsidP="00306D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reporting</w:t>
            </w:r>
          </w:p>
        </w:tc>
      </w:tr>
      <w:tr w:rsidR="00306DA6" w:rsidRPr="005822AC" w14:paraId="743598BB" w14:textId="77777777" w:rsidTr="003921EE">
        <w:trPr>
          <w:cantSplit/>
          <w:trHeight w:val="284"/>
        </w:trPr>
        <w:tc>
          <w:tcPr>
            <w:tcW w:w="2127" w:type="dxa"/>
            <w:vMerge/>
            <w:tcBorders>
              <w:left w:val="single" w:sz="6" w:space="0" w:color="000000"/>
            </w:tcBorders>
            <w:shd w:val="clear" w:color="auto" w:fill="B2A1C7"/>
            <w:vAlign w:val="center"/>
          </w:tcPr>
          <w:p w14:paraId="501967D8" w14:textId="77777777" w:rsidR="00306DA6" w:rsidRPr="005822AC" w:rsidRDefault="00306DA6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B1AA0C" w14:textId="77777777" w:rsidR="00306DA6" w:rsidRPr="005822AC" w:rsidRDefault="00306DA6" w:rsidP="003921EE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2FD593BC" w14:textId="77777777" w:rsidR="00306DA6" w:rsidRPr="005822AC" w:rsidRDefault="00306DA6" w:rsidP="003921EE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915310" w14:textId="77777777" w:rsidR="00306DA6" w:rsidRPr="005822AC" w:rsidRDefault="00306DA6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752C5664" w14:textId="77777777" w:rsidR="00306DA6" w:rsidRPr="005822AC" w:rsidRDefault="00306DA6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FB2267" w14:textId="77777777" w:rsidR="00306DA6" w:rsidRPr="005822AC" w:rsidRDefault="00306DA6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7D63AECB" w14:textId="77777777" w:rsidR="00306DA6" w:rsidRPr="005822AC" w:rsidRDefault="00306DA6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306DA6" w:rsidRPr="005822AC" w14:paraId="0BAEA0B5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73128DB" w14:textId="77777777" w:rsidR="00306DA6" w:rsidRPr="005822AC" w:rsidRDefault="00306DA6" w:rsidP="003921EE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F93B31" w14:textId="77777777" w:rsidR="00306DA6" w:rsidRPr="005822AC" w:rsidRDefault="00306DA6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intervento attivo (</w:t>
            </w:r>
            <w:r w:rsidRPr="005822AC">
              <w:rPr>
                <w:rFonts w:cs="Arial"/>
                <w:b/>
                <w:sz w:val="18"/>
                <w:szCs w:val="18"/>
              </w:rPr>
              <w:t>IA)</w:t>
            </w:r>
          </w:p>
          <w:p w14:paraId="4B609447" w14:textId="77777777" w:rsidR="00306DA6" w:rsidRPr="005822AC" w:rsidRDefault="00306DA6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regolamentazione (</w:t>
            </w:r>
            <w:r w:rsidRPr="005822AC">
              <w:rPr>
                <w:rFonts w:cs="Arial"/>
                <w:b/>
                <w:sz w:val="18"/>
                <w:szCs w:val="18"/>
              </w:rPr>
              <w:t>RE)</w:t>
            </w:r>
          </w:p>
          <w:p w14:paraId="53253A96" w14:textId="77777777" w:rsidR="00306DA6" w:rsidRPr="005822AC" w:rsidRDefault="00306DA6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incentivazione (</w:t>
            </w:r>
            <w:r w:rsidRPr="005822AC">
              <w:rPr>
                <w:rFonts w:cs="Arial"/>
                <w:b/>
                <w:sz w:val="18"/>
                <w:szCs w:val="18"/>
              </w:rPr>
              <w:t>IN)</w:t>
            </w:r>
          </w:p>
          <w:p w14:paraId="564581AE" w14:textId="77777777" w:rsidR="00306DA6" w:rsidRPr="005822AC" w:rsidRDefault="00306DA6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programma di monitoraggio e/o ricerca (</w:t>
            </w:r>
            <w:r w:rsidRPr="005822AC">
              <w:rPr>
                <w:rFonts w:cs="Arial"/>
                <w:b/>
                <w:sz w:val="18"/>
                <w:szCs w:val="18"/>
              </w:rPr>
              <w:t>MR)</w:t>
            </w:r>
          </w:p>
          <w:p w14:paraId="438CCD59" w14:textId="77777777" w:rsidR="00306DA6" w:rsidRPr="005822AC" w:rsidRDefault="00306DA6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programma di educazione e di informazione (</w:t>
            </w:r>
            <w:r w:rsidRPr="005822AC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306DA6" w:rsidRPr="005822AC" w14:paraId="5E7E0EEC" w14:textId="77777777" w:rsidTr="003921EE">
        <w:trPr>
          <w:cantSplit/>
          <w:trHeight w:val="284"/>
        </w:trPr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4557FD45" w14:textId="77777777" w:rsidR="00306DA6" w:rsidRPr="005822AC" w:rsidRDefault="00306DA6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9C1EC6" w14:textId="77777777" w:rsidR="00306DA6" w:rsidRPr="005822AC" w:rsidRDefault="00306DA6" w:rsidP="003921EE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5822AC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3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55828D" w14:textId="77777777" w:rsidR="00306DA6" w:rsidRPr="005822AC" w:rsidRDefault="00306DA6" w:rsidP="003921EE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5822AC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306DA6" w:rsidRPr="005822AC" w14:paraId="358D4DB5" w14:textId="77777777" w:rsidTr="003921EE">
        <w:trPr>
          <w:cantSplit/>
          <w:trHeight w:val="284"/>
        </w:trPr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0F5A50" w14:textId="77777777" w:rsidR="00306DA6" w:rsidRPr="005822AC" w:rsidRDefault="00306DA6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087C16" w14:textId="77777777" w:rsidR="00306DA6" w:rsidRPr="005822AC" w:rsidRDefault="00306DA6" w:rsidP="003921EE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Misura trasversale</w:t>
            </w:r>
          </w:p>
        </w:tc>
      </w:tr>
      <w:tr w:rsidR="00306DA6" w:rsidRPr="005822AC" w14:paraId="0A512831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8EAD9F2" w14:textId="77777777" w:rsidR="00306DA6" w:rsidRPr="005822AC" w:rsidRDefault="00306DA6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4B7CD71" w14:textId="77777777" w:rsidR="00306DA6" w:rsidRPr="005822AC" w:rsidRDefault="00306DA6" w:rsidP="003921EE">
            <w:pPr>
              <w:spacing w:after="0" w:line="240" w:lineRule="auto"/>
              <w:ind w:firstLine="0"/>
              <w:jc w:val="center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 w:rsidRPr="005822AC">
              <w:rPr>
                <w:rFonts w:cs="Arial"/>
                <w:noProof/>
                <w:sz w:val="18"/>
                <w:szCs w:val="18"/>
                <w14:ligatures w14:val="standardContextual"/>
              </w:rPr>
              <w:t>=</w:t>
            </w:r>
          </w:p>
        </w:tc>
      </w:tr>
      <w:tr w:rsidR="00306DA6" w:rsidRPr="005822AC" w14:paraId="18EA2F82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667FA5DB" w14:textId="77777777" w:rsidR="00306DA6" w:rsidRPr="005822AC" w:rsidRDefault="00306DA6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A0ABC64" w14:textId="77777777" w:rsidR="00306DA6" w:rsidRPr="005822AC" w:rsidRDefault="00306DA6" w:rsidP="00306DA6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noProof/>
                <w:sz w:val="18"/>
                <w:szCs w:val="18"/>
                <w14:ligatures w14:val="standardContextual"/>
              </w:rPr>
              <w:t>Tutto il sito</w:t>
            </w:r>
          </w:p>
        </w:tc>
      </w:tr>
      <w:tr w:rsidR="00306DA6" w:rsidRPr="005822AC" w14:paraId="35F2429C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B2D4645" w14:textId="77777777" w:rsidR="00306DA6" w:rsidRPr="005822AC" w:rsidRDefault="00306DA6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2EDC02C" w14:textId="7438718C" w:rsidR="00306DA6" w:rsidRPr="005822AC" w:rsidRDefault="00306DA6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 xml:space="preserve">Il monitoraggio dello stato </w:t>
            </w:r>
            <w:r w:rsidR="005512A9">
              <w:rPr>
                <w:rFonts w:cs="Arial"/>
                <w:sz w:val="18"/>
                <w:szCs w:val="18"/>
              </w:rPr>
              <w:t xml:space="preserve">di conservazione </w:t>
            </w:r>
            <w:r w:rsidRPr="005822AC">
              <w:rPr>
                <w:rFonts w:cs="Arial"/>
                <w:sz w:val="18"/>
                <w:szCs w:val="18"/>
              </w:rPr>
              <w:t xml:space="preserve">degli habitat e delle </w:t>
            </w:r>
            <w:r w:rsidR="005512A9">
              <w:rPr>
                <w:rFonts w:cs="Arial"/>
                <w:sz w:val="18"/>
                <w:szCs w:val="18"/>
              </w:rPr>
              <w:t xml:space="preserve">popolazioni di </w:t>
            </w:r>
            <w:r w:rsidRPr="005822AC">
              <w:rPr>
                <w:rFonts w:cs="Arial"/>
                <w:sz w:val="18"/>
                <w:szCs w:val="18"/>
              </w:rPr>
              <w:t>specie</w:t>
            </w:r>
            <w:r w:rsidR="005512A9">
              <w:rPr>
                <w:rFonts w:cs="Arial"/>
                <w:sz w:val="18"/>
                <w:szCs w:val="18"/>
              </w:rPr>
              <w:t xml:space="preserve"> di interesse comunitario presenti all’interno del sito Natura 2000</w:t>
            </w:r>
            <w:r w:rsidRPr="005822AC">
              <w:rPr>
                <w:rFonts w:cs="Arial"/>
                <w:sz w:val="18"/>
                <w:szCs w:val="18"/>
              </w:rPr>
              <w:t xml:space="preserve">, oltre che un obbligo previsto dalla </w:t>
            </w:r>
            <w:r w:rsidR="00CD0212">
              <w:rPr>
                <w:rFonts w:cs="Arial"/>
                <w:sz w:val="18"/>
                <w:szCs w:val="18"/>
              </w:rPr>
              <w:t>D</w:t>
            </w:r>
            <w:r w:rsidR="00CD0212" w:rsidRPr="005822AC">
              <w:rPr>
                <w:rFonts w:cs="Arial"/>
                <w:sz w:val="18"/>
                <w:szCs w:val="18"/>
              </w:rPr>
              <w:t>irettiva</w:t>
            </w:r>
            <w:r w:rsidRPr="005822AC">
              <w:rPr>
                <w:rFonts w:cs="Arial"/>
                <w:sz w:val="18"/>
                <w:szCs w:val="18"/>
              </w:rPr>
              <w:t>, è essenziale per valutare l’efficacia del piano ed eventualmente apportare le opportune correzioni alle strategie adottate.</w:t>
            </w:r>
          </w:p>
        </w:tc>
      </w:tr>
      <w:tr w:rsidR="00306DA6" w:rsidRPr="005822AC" w14:paraId="72843A23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9F2205B" w14:textId="77777777" w:rsidR="00306DA6" w:rsidRPr="005822AC" w:rsidRDefault="00306DA6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D01A0D" w14:textId="3434A8C1" w:rsidR="00306DA6" w:rsidRPr="005822AC" w:rsidRDefault="00306DA6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Aggiornamento delle conoscenze sullo stato degli habitat e delle specie nel sito</w:t>
            </w:r>
            <w:r w:rsidR="00FA3598">
              <w:rPr>
                <w:rFonts w:cs="Arial"/>
                <w:sz w:val="18"/>
                <w:szCs w:val="18"/>
              </w:rPr>
              <w:t>.</w:t>
            </w:r>
          </w:p>
        </w:tc>
      </w:tr>
      <w:tr w:rsidR="00306DA6" w:rsidRPr="005822AC" w14:paraId="71BF5851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B7539D" w14:textId="77777777" w:rsidR="00306DA6" w:rsidRPr="005822AC" w:rsidRDefault="00306DA6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0F9476" w14:textId="77777777" w:rsidR="00306DA6" w:rsidRPr="005822AC" w:rsidRDefault="00306DA6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Acquisire le informazioni per l’attività periodica di reporting.</w:t>
            </w:r>
          </w:p>
        </w:tc>
      </w:tr>
      <w:tr w:rsidR="00306DA6" w:rsidRPr="005822AC" w14:paraId="13CA6638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AC1987" w14:textId="77777777" w:rsidR="00306DA6" w:rsidRPr="005822AC" w:rsidRDefault="00306DA6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709044" w14:textId="77777777" w:rsidR="00306DA6" w:rsidRDefault="00306DA6" w:rsidP="00ED3E4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I monitoraggi dovranno riguardare tutti gli habitat e le specie di interesse comunitario segnalate nei formulari e i gruppi sistematici non segnalati</w:t>
            </w:r>
            <w:r w:rsidR="00ED3E43">
              <w:rPr>
                <w:rFonts w:cs="Arial"/>
                <w:sz w:val="18"/>
                <w:szCs w:val="18"/>
              </w:rPr>
              <w:t>,</w:t>
            </w:r>
            <w:r w:rsidRPr="005822AC">
              <w:rPr>
                <w:rFonts w:cs="Arial"/>
                <w:sz w:val="18"/>
                <w:szCs w:val="18"/>
              </w:rPr>
              <w:t xml:space="preserve"> che sulla base delle caratteristiche ecologiche del sito</w:t>
            </w:r>
            <w:r w:rsidR="00CD0212">
              <w:rPr>
                <w:rFonts w:cs="Arial"/>
                <w:sz w:val="18"/>
                <w:szCs w:val="18"/>
              </w:rPr>
              <w:t>,</w:t>
            </w:r>
            <w:r w:rsidRPr="005822AC">
              <w:rPr>
                <w:rFonts w:cs="Arial"/>
                <w:sz w:val="18"/>
                <w:szCs w:val="18"/>
              </w:rPr>
              <w:t xml:space="preserve"> possono essere presenti. </w:t>
            </w:r>
            <w:r w:rsidR="00ED3E43">
              <w:rPr>
                <w:rFonts w:cs="Arial"/>
                <w:sz w:val="18"/>
                <w:szCs w:val="18"/>
              </w:rPr>
              <w:t>Il monitoraggio dovrà essere realizzato in accordo con i “manuali per il monitoraggio di specie e habitat di interesse comunitario” redatti da</w:t>
            </w:r>
            <w:r w:rsidRPr="005822AC">
              <w:rPr>
                <w:rFonts w:cs="Arial"/>
                <w:sz w:val="18"/>
                <w:szCs w:val="18"/>
              </w:rPr>
              <w:t xml:space="preserve"> M</w:t>
            </w:r>
            <w:r w:rsidR="00ED3E43">
              <w:rPr>
                <w:rFonts w:cs="Arial"/>
                <w:sz w:val="18"/>
                <w:szCs w:val="18"/>
              </w:rPr>
              <w:t>inistero (MASE)</w:t>
            </w:r>
            <w:r w:rsidRPr="005822AC">
              <w:rPr>
                <w:rFonts w:cs="Arial"/>
                <w:sz w:val="18"/>
                <w:szCs w:val="18"/>
              </w:rPr>
              <w:t xml:space="preserve"> </w:t>
            </w:r>
            <w:r w:rsidR="00ED3E43">
              <w:rPr>
                <w:rFonts w:cs="Arial"/>
                <w:sz w:val="18"/>
                <w:szCs w:val="18"/>
              </w:rPr>
              <w:t>e</w:t>
            </w:r>
            <w:r w:rsidRPr="005822AC">
              <w:rPr>
                <w:rFonts w:cs="Arial"/>
                <w:sz w:val="18"/>
                <w:szCs w:val="18"/>
              </w:rPr>
              <w:t xml:space="preserve"> da ISPRA </w:t>
            </w:r>
            <w:r w:rsidR="00ED3E43">
              <w:rPr>
                <w:rFonts w:cs="Arial"/>
                <w:sz w:val="18"/>
                <w:szCs w:val="18"/>
              </w:rPr>
              <w:t xml:space="preserve">e fornire le informazioni </w:t>
            </w:r>
            <w:r w:rsidRPr="005822AC">
              <w:rPr>
                <w:rFonts w:cs="Arial"/>
                <w:sz w:val="18"/>
                <w:szCs w:val="18"/>
              </w:rPr>
              <w:t>necessarie a calcolare i valori degli attributi dei parametri art. 17</w:t>
            </w:r>
            <w:r w:rsidR="00ED3E43">
              <w:rPr>
                <w:rFonts w:cs="Arial"/>
                <w:sz w:val="18"/>
                <w:szCs w:val="18"/>
              </w:rPr>
              <w:t xml:space="preserve"> della Direttiva Habitat e 12 della Direttiva Uccelli</w:t>
            </w:r>
            <w:r w:rsidR="00BA43A9">
              <w:rPr>
                <w:rFonts w:cs="Arial"/>
                <w:sz w:val="18"/>
                <w:szCs w:val="18"/>
              </w:rPr>
              <w:t>.</w:t>
            </w:r>
          </w:p>
          <w:p w14:paraId="695C44DB" w14:textId="51EBFF5E" w:rsidR="00110093" w:rsidRPr="005822AC" w:rsidRDefault="00110093" w:rsidP="00ED3E4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Per quanto riguarda i Chirotteri il monitoraggio deve preventivamente prevedere il censimento delle cavità naturali o artificiali presenti nel parco.</w:t>
            </w:r>
          </w:p>
        </w:tc>
      </w:tr>
      <w:tr w:rsidR="00306DA6" w:rsidRPr="005822AC" w14:paraId="68DB4B0B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C031F5" w14:textId="77777777" w:rsidR="00306DA6" w:rsidRPr="005822AC" w:rsidRDefault="00306DA6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496603" w14:textId="77777777" w:rsidR="00306DA6" w:rsidRPr="005822AC" w:rsidRDefault="00306DA6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Acquisizione delle informazioni necessarie per l’attività periodica di reporting</w:t>
            </w:r>
          </w:p>
        </w:tc>
      </w:tr>
      <w:tr w:rsidR="00306DA6" w:rsidRPr="005822AC" w14:paraId="20778744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DAC98D" w14:textId="77777777" w:rsidR="00306DA6" w:rsidRPr="005822AC" w:rsidRDefault="00306DA6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72F6EC" w14:textId="100F71DF" w:rsidR="00306DA6" w:rsidRPr="005822AC" w:rsidRDefault="00306DA6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306DA6" w:rsidRPr="005822AC" w14:paraId="05EBB61B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102E13C" w14:textId="77777777" w:rsidR="00306DA6" w:rsidRPr="005822AC" w:rsidRDefault="00306DA6" w:rsidP="003921EE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68776F7" w14:textId="2006ABA0" w:rsidR="00306DA6" w:rsidRPr="005822AC" w:rsidRDefault="00306DA6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 xml:space="preserve">Ente gestore </w:t>
            </w:r>
          </w:p>
        </w:tc>
      </w:tr>
      <w:tr w:rsidR="00306DA6" w:rsidRPr="005822AC" w14:paraId="1EE516A7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EB5CB27" w14:textId="77777777" w:rsidR="00306DA6" w:rsidRPr="00084059" w:rsidRDefault="00306DA6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084059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F3F6A7D" w14:textId="5F09A518" w:rsidR="00306DA6" w:rsidRPr="00084059" w:rsidRDefault="001D5933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084059">
              <w:rPr>
                <w:rFonts w:cs="Arial"/>
                <w:sz w:val="18"/>
                <w:szCs w:val="18"/>
              </w:rPr>
              <w:t>Alta</w:t>
            </w:r>
          </w:p>
        </w:tc>
      </w:tr>
      <w:tr w:rsidR="00306DA6" w:rsidRPr="005822AC" w14:paraId="7A2E2E3A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A2C4F5" w14:textId="77777777" w:rsidR="00306DA6" w:rsidRPr="00084059" w:rsidRDefault="00306DA6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084059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6ABEFF" w14:textId="7ED4FC46" w:rsidR="00306DA6" w:rsidRPr="00084059" w:rsidRDefault="00306DA6" w:rsidP="003921EE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084059">
              <w:rPr>
                <w:rFonts w:cs="Arial"/>
                <w:sz w:val="18"/>
                <w:szCs w:val="18"/>
              </w:rPr>
              <w:t xml:space="preserve">Entro 6 anni Costo: € </w:t>
            </w:r>
            <w:r w:rsidR="00CD0212" w:rsidRPr="00084059">
              <w:rPr>
                <w:rFonts w:cs="Arial"/>
                <w:sz w:val="18"/>
                <w:szCs w:val="18"/>
              </w:rPr>
              <w:t>100</w:t>
            </w:r>
            <w:r w:rsidRPr="00084059">
              <w:rPr>
                <w:rFonts w:cs="Arial"/>
                <w:sz w:val="18"/>
                <w:szCs w:val="18"/>
              </w:rPr>
              <w:t>.000</w:t>
            </w:r>
          </w:p>
        </w:tc>
      </w:tr>
      <w:tr w:rsidR="00306DA6" w:rsidRPr="005822AC" w14:paraId="0EB32C22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8B04EFF" w14:textId="77777777" w:rsidR="00306DA6" w:rsidRPr="005822AC" w:rsidRDefault="00306DA6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ED36413" w14:textId="77777777" w:rsidR="00306DA6" w:rsidRPr="005822AC" w:rsidRDefault="00306DA6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Risorse regionali</w:t>
            </w:r>
          </w:p>
        </w:tc>
      </w:tr>
      <w:tr w:rsidR="00306DA6" w:rsidRPr="005822AC" w14:paraId="3DD7F646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AB0D851" w14:textId="77777777" w:rsidR="00306DA6" w:rsidRPr="005822AC" w:rsidRDefault="00306DA6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38B97DF" w14:textId="77777777" w:rsidR="00ED3E43" w:rsidRPr="00ED3E43" w:rsidRDefault="00ED3E43" w:rsidP="00ED3E4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proofErr w:type="spellStart"/>
            <w:r w:rsidRPr="00ED3E43">
              <w:rPr>
                <w:rFonts w:cs="Arial"/>
                <w:sz w:val="18"/>
                <w:szCs w:val="18"/>
              </w:rPr>
              <w:t>Stoch</w:t>
            </w:r>
            <w:proofErr w:type="spellEnd"/>
            <w:r w:rsidRPr="00ED3E43">
              <w:rPr>
                <w:rFonts w:cs="Arial"/>
                <w:sz w:val="18"/>
                <w:szCs w:val="18"/>
              </w:rPr>
              <w:t xml:space="preserve"> F., Genovesi P. (ed.), 2016. Manuali per il monitoraggio di specie e habitat di interesse</w:t>
            </w:r>
          </w:p>
          <w:p w14:paraId="755572BF" w14:textId="77777777" w:rsidR="00306DA6" w:rsidRDefault="00ED3E43" w:rsidP="00ED3E4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ED3E43">
              <w:rPr>
                <w:rFonts w:cs="Arial"/>
                <w:sz w:val="18"/>
                <w:szCs w:val="18"/>
              </w:rPr>
              <w:t>comunitario (Direttiva 92/43/CEE) in Italia: specie animali. ISPRA, Serie Manuali e linee guida,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ED3E43">
              <w:rPr>
                <w:rFonts w:cs="Arial"/>
                <w:sz w:val="18"/>
                <w:szCs w:val="18"/>
              </w:rPr>
              <w:t>141/2016</w:t>
            </w:r>
          </w:p>
          <w:p w14:paraId="675C775C" w14:textId="77777777" w:rsidR="00BA43A9" w:rsidRDefault="00BA43A9" w:rsidP="00ED3E4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  <w:p w14:paraId="3D67453C" w14:textId="2296C74E" w:rsidR="00BA43A9" w:rsidRPr="005822AC" w:rsidRDefault="00BA43A9" w:rsidP="00BA43A9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BA43A9">
              <w:rPr>
                <w:rFonts w:cs="Arial"/>
                <w:sz w:val="18"/>
                <w:szCs w:val="18"/>
              </w:rPr>
              <w:t>La Mesa G., Paglialonga A., Tunesi L. (ed.), 2019. Manuali per il monitoraggio di specie e habitat di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A43A9">
              <w:rPr>
                <w:rFonts w:cs="Arial"/>
                <w:sz w:val="18"/>
                <w:szCs w:val="18"/>
              </w:rPr>
              <w:t>interesse comunitario (Direttiva 92/43/CEE e Direttiva 09/147/CE) in Italia: ambiente marino. ISPRA,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A43A9">
              <w:rPr>
                <w:rFonts w:cs="Arial"/>
                <w:sz w:val="18"/>
                <w:szCs w:val="18"/>
              </w:rPr>
              <w:t>Serie Manuali e linee guida, 190/2019</w:t>
            </w:r>
          </w:p>
        </w:tc>
      </w:tr>
    </w:tbl>
    <w:p w14:paraId="4B2ABEDE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B52"/>
    <w:rsid w:val="00015A8F"/>
    <w:rsid w:val="00084059"/>
    <w:rsid w:val="00110093"/>
    <w:rsid w:val="001D5933"/>
    <w:rsid w:val="002764C6"/>
    <w:rsid w:val="00306DA6"/>
    <w:rsid w:val="004F6B52"/>
    <w:rsid w:val="004F70B0"/>
    <w:rsid w:val="005512A9"/>
    <w:rsid w:val="00726991"/>
    <w:rsid w:val="00AF12CF"/>
    <w:rsid w:val="00B16EF6"/>
    <w:rsid w:val="00BA43A9"/>
    <w:rsid w:val="00CA2216"/>
    <w:rsid w:val="00CD0212"/>
    <w:rsid w:val="00ED3E43"/>
    <w:rsid w:val="00F02E6B"/>
    <w:rsid w:val="00FA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11DBB"/>
  <w15:chartTrackingRefBased/>
  <w15:docId w15:val="{BBDFF1B6-F44C-4136-A2DD-0F5BF3276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6DA6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6B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F6B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F6B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F6B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F6B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F6B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F6B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F6B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F6B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F6B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F6B5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F6B5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F6B5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F6B5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F6B5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F6B5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F6B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F6B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F6B52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F6B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F6B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F6B52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4F6B5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F6B5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F6B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F6B5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F6B52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306DA6"/>
  </w:style>
  <w:style w:type="paragraph" w:styleId="Revisione">
    <w:name w:val="Revision"/>
    <w:hidden/>
    <w:uiPriority w:val="99"/>
    <w:semiHidden/>
    <w:rsid w:val="00CD0212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10</cp:revision>
  <dcterms:created xsi:type="dcterms:W3CDTF">2024-03-22T11:05:00Z</dcterms:created>
  <dcterms:modified xsi:type="dcterms:W3CDTF">2024-08-27T11:26:00Z</dcterms:modified>
</cp:coreProperties>
</file>