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97"/>
        <w:gridCol w:w="2192"/>
        <w:gridCol w:w="1115"/>
        <w:gridCol w:w="1418"/>
        <w:gridCol w:w="2400"/>
      </w:tblGrid>
      <w:tr w:rsidR="00595108" w:rsidRPr="004B19BF" w14:paraId="2E4A81C8" w14:textId="77777777" w:rsidTr="00595108">
        <w:trPr>
          <w:cantSplit/>
          <w:trHeight w:val="284"/>
        </w:trPr>
        <w:tc>
          <w:tcPr>
            <w:tcW w:w="249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765F7E66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Scheda</w:t>
            </w:r>
          </w:p>
          <w:p w14:paraId="48810F42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3328BA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37AE2191" w14:textId="40E767F8" w:rsidR="00595108" w:rsidRPr="004B19BF" w:rsidRDefault="00595108" w:rsidP="00675A52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95108" w:rsidRPr="004B19BF" w14:paraId="4E536BEB" w14:textId="77777777" w:rsidTr="00595108">
        <w:trPr>
          <w:cantSplit/>
          <w:trHeight w:val="284"/>
        </w:trPr>
        <w:tc>
          <w:tcPr>
            <w:tcW w:w="249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7B61A1C8" w14:textId="77777777" w:rsidR="00595108" w:rsidRPr="004B19BF" w:rsidRDefault="00595108" w:rsidP="00675A52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886479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6A8368AC" w14:textId="088C5C6E" w:rsidR="00595108" w:rsidRPr="004B19BF" w:rsidRDefault="00595108" w:rsidP="00675A52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95108" w:rsidRPr="004B19BF" w14:paraId="5B71210A" w14:textId="77777777" w:rsidTr="00595108">
        <w:trPr>
          <w:cantSplit/>
          <w:trHeight w:val="284"/>
        </w:trPr>
        <w:tc>
          <w:tcPr>
            <w:tcW w:w="2497" w:type="dxa"/>
            <w:vMerge w:val="restart"/>
            <w:tcBorders>
              <w:left w:val="single" w:sz="6" w:space="0" w:color="000000"/>
            </w:tcBorders>
            <w:shd w:val="clear" w:color="auto" w:fill="FFFF00"/>
            <w:vAlign w:val="center"/>
          </w:tcPr>
          <w:p w14:paraId="7160039D" w14:textId="77777777" w:rsidR="00595108" w:rsidRPr="004B19BF" w:rsidRDefault="00595108" w:rsidP="00595108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7797CC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072708" w14:textId="17BDEFE5" w:rsidR="00595108" w:rsidRPr="00595108" w:rsidRDefault="00F847B8" w:rsidP="00675A52">
            <w:pPr>
              <w:spacing w:after="0" w:line="240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F847B8">
              <w:rPr>
                <w:rFonts w:cs="Arial"/>
                <w:b/>
                <w:bCs/>
                <w:sz w:val="18"/>
                <w:szCs w:val="18"/>
              </w:rPr>
              <w:t>Incentivazioni per il mantenimento fasce di vegetazione ripariale lungo il reticolo idrografico</w:t>
            </w:r>
          </w:p>
        </w:tc>
      </w:tr>
      <w:tr w:rsidR="00595108" w:rsidRPr="004B19BF" w14:paraId="23BAFECE" w14:textId="77777777" w:rsidTr="00595108">
        <w:trPr>
          <w:cantSplit/>
          <w:trHeight w:val="284"/>
        </w:trPr>
        <w:tc>
          <w:tcPr>
            <w:tcW w:w="2497" w:type="dxa"/>
            <w:vMerge/>
            <w:tcBorders>
              <w:left w:val="single" w:sz="6" w:space="0" w:color="000000"/>
            </w:tcBorders>
            <w:shd w:val="clear" w:color="auto" w:fill="FFFF00"/>
            <w:vAlign w:val="center"/>
          </w:tcPr>
          <w:p w14:paraId="1E0D733F" w14:textId="77777777" w:rsidR="00595108" w:rsidRPr="004B19BF" w:rsidRDefault="00595108" w:rsidP="00675A52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0AFFF9" w14:textId="2088D02B" w:rsidR="00595108" w:rsidRPr="004B19BF" w:rsidRDefault="00D6462E" w:rsidP="00675A52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="00595108" w:rsidRPr="004B19BF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120A9CE5" w14:textId="19F75076" w:rsidR="00595108" w:rsidRPr="004B19BF" w:rsidRDefault="00D6462E" w:rsidP="00675A52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="00595108" w:rsidRPr="004B19BF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5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31C1D4" w14:textId="38E51175" w:rsidR="00595108" w:rsidRPr="004B19BF" w:rsidRDefault="00343CC2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="00595108" w:rsidRPr="004B19BF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5BE5A42D" w14:textId="7B678BAC" w:rsidR="00595108" w:rsidRPr="004B19BF" w:rsidRDefault="00F847B8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="00595108" w:rsidRPr="004B19BF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83B1A" w14:textId="47817591" w:rsidR="00595108" w:rsidRPr="004B19BF" w:rsidRDefault="00595108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6960055F" w14:textId="43E77613" w:rsidR="00595108" w:rsidRPr="004B19BF" w:rsidRDefault="00595108" w:rsidP="00675A52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595108" w:rsidRPr="004B19BF" w14:paraId="52D45AB8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7CDF0E3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F1C52" w14:textId="77777777" w:rsidR="00595108" w:rsidRPr="004B19BF" w:rsidRDefault="00595108" w:rsidP="00675A52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intervento attivo (</w:t>
            </w:r>
            <w:r w:rsidRPr="004B19BF">
              <w:rPr>
                <w:rFonts w:cs="Arial"/>
                <w:b/>
                <w:sz w:val="18"/>
                <w:szCs w:val="18"/>
              </w:rPr>
              <w:t>IA)</w:t>
            </w:r>
          </w:p>
          <w:p w14:paraId="7D0E1FD2" w14:textId="4586F478" w:rsidR="00595108" w:rsidRPr="004B19BF" w:rsidRDefault="00595108" w:rsidP="00675A52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regolamentazione (</w:t>
            </w:r>
            <w:r w:rsidRPr="004B19BF">
              <w:rPr>
                <w:rFonts w:cs="Arial"/>
                <w:b/>
                <w:sz w:val="18"/>
                <w:szCs w:val="18"/>
              </w:rPr>
              <w:t>RE)</w:t>
            </w:r>
          </w:p>
          <w:p w14:paraId="21E7B7AC" w14:textId="1E6EFF1F" w:rsidR="00595108" w:rsidRPr="004B19BF" w:rsidRDefault="00595108" w:rsidP="00675A52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incentivazione (</w:t>
            </w:r>
            <w:r w:rsidRPr="004B19BF">
              <w:rPr>
                <w:rFonts w:cs="Arial"/>
                <w:b/>
                <w:sz w:val="18"/>
                <w:szCs w:val="18"/>
              </w:rPr>
              <w:t>IN)</w:t>
            </w:r>
          </w:p>
          <w:p w14:paraId="517E090A" w14:textId="77777777" w:rsidR="00595108" w:rsidRPr="004B19BF" w:rsidRDefault="00595108" w:rsidP="00675A52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monitoraggio e/o ricerca (</w:t>
            </w:r>
            <w:r w:rsidRPr="004B19BF">
              <w:rPr>
                <w:rFonts w:cs="Arial"/>
                <w:b/>
                <w:sz w:val="18"/>
                <w:szCs w:val="18"/>
              </w:rPr>
              <w:t>MR)</w:t>
            </w:r>
          </w:p>
          <w:p w14:paraId="6B2DB061" w14:textId="77777777" w:rsidR="00595108" w:rsidRPr="004B19BF" w:rsidRDefault="00595108" w:rsidP="00675A52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educazione e di informazione (</w:t>
            </w:r>
            <w:r w:rsidRPr="004B19BF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595108" w:rsidRPr="004B19BF" w14:paraId="20FB4DF2" w14:textId="77777777" w:rsidTr="000147A1">
        <w:trPr>
          <w:cantSplit/>
          <w:trHeight w:val="284"/>
        </w:trPr>
        <w:tc>
          <w:tcPr>
            <w:tcW w:w="249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37A92AD2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DC9C4B" w14:textId="77777777" w:rsidR="00595108" w:rsidRPr="004B19BF" w:rsidRDefault="00595108" w:rsidP="00675A52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4D98F" w14:textId="77777777" w:rsidR="00595108" w:rsidRPr="004B19BF" w:rsidRDefault="00595108" w:rsidP="00675A52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595108" w:rsidRPr="004B19BF" w14:paraId="03A047E1" w14:textId="77777777" w:rsidTr="000147A1">
        <w:trPr>
          <w:cantSplit/>
          <w:trHeight w:val="284"/>
        </w:trPr>
        <w:tc>
          <w:tcPr>
            <w:tcW w:w="249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E9EE4A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6781A0" w14:textId="73CD3CAD" w:rsidR="00595108" w:rsidRPr="004B19BF" w:rsidRDefault="00595108" w:rsidP="00675A52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E48A74" w14:textId="72EF7773" w:rsidR="00595108" w:rsidRPr="004B19BF" w:rsidRDefault="00F847B8" w:rsidP="00533FC6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</w:rPr>
            </w:pPr>
            <w:r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  <w:t>Coenagrion mercuriale, Triturus carnifex</w:t>
            </w:r>
          </w:p>
        </w:tc>
      </w:tr>
      <w:tr w:rsidR="00595108" w:rsidRPr="004B19BF" w14:paraId="1EABBDB0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6F23E02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641A035" w14:textId="16E925B6" w:rsidR="00595108" w:rsidRPr="004B19BF" w:rsidRDefault="00F847B8" w:rsidP="00675A52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>
              <w:rPr>
                <w:rFonts w:cs="Arial"/>
                <w:sz w:val="18"/>
                <w:szCs w:val="18"/>
              </w:rPr>
              <w:t>PL05</w:t>
            </w:r>
          </w:p>
        </w:tc>
      </w:tr>
      <w:tr w:rsidR="00595108" w:rsidRPr="004B19BF" w14:paraId="5555B831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D98D7C3" w14:textId="77777777" w:rsidR="00595108" w:rsidRPr="004B19BF" w:rsidRDefault="00595108" w:rsidP="00675A52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B9A30FA" w14:textId="1421C053" w:rsidR="00595108" w:rsidRPr="004B19BF" w:rsidRDefault="00F847B8" w:rsidP="000147A1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Tutto il sito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C2B22">
              <w:rPr>
                <w:rFonts w:cs="Arial"/>
                <w:sz w:val="18"/>
                <w:szCs w:val="18"/>
              </w:rPr>
              <w:t>e aree contermini funzionalmente correlate</w:t>
            </w:r>
          </w:p>
        </w:tc>
      </w:tr>
      <w:tr w:rsidR="00D5407A" w:rsidRPr="004B19BF" w14:paraId="41F99FFD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48813AE" w14:textId="77777777" w:rsidR="00D5407A" w:rsidRPr="004B19BF" w:rsidRDefault="00D5407A" w:rsidP="00D5407A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367D8ED" w14:textId="19A0ED65" w:rsidR="00D5407A" w:rsidRPr="004B19BF" w:rsidRDefault="00F847B8" w:rsidP="00D5407A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847B8">
              <w:rPr>
                <w:rFonts w:cs="Arial"/>
                <w:sz w:val="18"/>
                <w:szCs w:val="18"/>
              </w:rPr>
              <w:t xml:space="preserve">Gli interventi di </w:t>
            </w:r>
            <w:r>
              <w:rPr>
                <w:rFonts w:cs="Arial"/>
                <w:sz w:val="18"/>
                <w:szCs w:val="18"/>
              </w:rPr>
              <w:t>taglio</w:t>
            </w:r>
            <w:r w:rsidRPr="00F847B8">
              <w:rPr>
                <w:rFonts w:cs="Arial"/>
                <w:sz w:val="18"/>
                <w:szCs w:val="18"/>
              </w:rPr>
              <w:t xml:space="preserve"> della vegetazione spondale relativi al mantenimento dell'officiosità idraulica, possono compromettere l'habitat della specie se non vengono applicate misure di conservazione che abbassino la magnitudo della pressione</w:t>
            </w:r>
          </w:p>
        </w:tc>
      </w:tr>
      <w:tr w:rsidR="00D5407A" w:rsidRPr="004B19BF" w14:paraId="1D60574C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07B86FA" w14:textId="77777777" w:rsidR="00D5407A" w:rsidRPr="004B19BF" w:rsidRDefault="00D5407A" w:rsidP="00D5407A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F5E509" w14:textId="298B42B9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Grado di conservazione d</w:t>
            </w:r>
            <w:r>
              <w:rPr>
                <w:rFonts w:cs="Arial"/>
                <w:sz w:val="18"/>
                <w:szCs w:val="18"/>
              </w:rPr>
              <w:t>elle specie</w:t>
            </w:r>
            <w:r w:rsidRPr="004B19BF">
              <w:rPr>
                <w:rFonts w:cs="Arial"/>
                <w:sz w:val="18"/>
                <w:szCs w:val="18"/>
              </w:rPr>
              <w:t xml:space="preserve"> target</w:t>
            </w:r>
          </w:p>
        </w:tc>
      </w:tr>
      <w:tr w:rsidR="00D5407A" w:rsidRPr="004B19BF" w14:paraId="565F7D79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01CDF6" w14:textId="77777777" w:rsidR="00D5407A" w:rsidRPr="004B19BF" w:rsidRDefault="00D5407A" w:rsidP="00D5407A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47178F" w14:textId="10993881" w:rsidR="00D5407A" w:rsidRPr="004B19BF" w:rsidRDefault="00F847B8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847B8">
              <w:rPr>
                <w:rFonts w:cs="Arial"/>
                <w:sz w:val="18"/>
                <w:szCs w:val="18"/>
              </w:rPr>
              <w:t xml:space="preserve">Mantenimento e miglioramento dell’habitat biologico delle specie target, riduzione dell’impatto provocato dagli interventi di </w:t>
            </w:r>
            <w:r>
              <w:rPr>
                <w:rFonts w:cs="Arial"/>
                <w:sz w:val="18"/>
                <w:szCs w:val="18"/>
              </w:rPr>
              <w:t>taglio della vegetazione ripariale</w:t>
            </w:r>
          </w:p>
        </w:tc>
      </w:tr>
      <w:tr w:rsidR="00D5407A" w:rsidRPr="004B19BF" w14:paraId="78B6B3CA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5D7176" w14:textId="77777777" w:rsidR="00D5407A" w:rsidRPr="004B19BF" w:rsidRDefault="00D5407A" w:rsidP="00D5407A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59DE6D" w14:textId="16E9E576" w:rsidR="00D5407A" w:rsidRPr="004B19BF" w:rsidRDefault="00F847B8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È incentivat</w:t>
            </w:r>
            <w:r w:rsidR="009346F2">
              <w:rPr>
                <w:rFonts w:cs="Arial"/>
                <w:sz w:val="18"/>
                <w:szCs w:val="18"/>
              </w:rPr>
              <w:t>a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9346F2">
              <w:rPr>
                <w:rFonts w:cs="Arial"/>
                <w:sz w:val="18"/>
                <w:szCs w:val="18"/>
              </w:rPr>
              <w:t>la piantagione</w:t>
            </w:r>
            <w:r w:rsidRPr="00F847B8">
              <w:rPr>
                <w:rFonts w:cs="Arial"/>
                <w:sz w:val="18"/>
                <w:szCs w:val="18"/>
              </w:rPr>
              <w:t xml:space="preserve"> di fasce con vegetazione ripariale </w:t>
            </w:r>
            <w:r w:rsidR="009346F2">
              <w:rPr>
                <w:rFonts w:cs="Arial"/>
                <w:sz w:val="18"/>
                <w:szCs w:val="18"/>
              </w:rPr>
              <w:t xml:space="preserve">(arbustiva ed arborea, da lasciare poi </w:t>
            </w:r>
            <w:r w:rsidRPr="00F847B8">
              <w:rPr>
                <w:rFonts w:cs="Arial"/>
                <w:sz w:val="18"/>
                <w:szCs w:val="18"/>
              </w:rPr>
              <w:t>ad evoluzione libera</w:t>
            </w:r>
            <w:r w:rsidR="009346F2">
              <w:rPr>
                <w:rFonts w:cs="Arial"/>
                <w:sz w:val="18"/>
                <w:szCs w:val="18"/>
              </w:rPr>
              <w:t xml:space="preserve"> in assenza di specie esotiche)</w:t>
            </w:r>
            <w:r w:rsidRPr="00F847B8">
              <w:rPr>
                <w:rFonts w:cs="Arial"/>
                <w:sz w:val="18"/>
                <w:szCs w:val="18"/>
              </w:rPr>
              <w:t xml:space="preserve"> </w:t>
            </w:r>
            <w:r w:rsidR="009346F2">
              <w:rPr>
                <w:rFonts w:cs="Arial"/>
                <w:sz w:val="18"/>
                <w:szCs w:val="18"/>
              </w:rPr>
              <w:t>nella fascia di</w:t>
            </w:r>
            <w:r w:rsidRPr="00F847B8">
              <w:rPr>
                <w:rFonts w:cs="Arial"/>
                <w:sz w:val="18"/>
                <w:szCs w:val="18"/>
              </w:rPr>
              <w:t xml:space="preserve"> 10 metri </w:t>
            </w:r>
            <w:r w:rsidR="009346F2">
              <w:rPr>
                <w:rFonts w:cs="Arial"/>
                <w:sz w:val="18"/>
                <w:szCs w:val="18"/>
              </w:rPr>
              <w:t>dall’</w:t>
            </w:r>
            <w:r w:rsidRPr="00F847B8">
              <w:rPr>
                <w:rFonts w:cs="Arial"/>
                <w:sz w:val="18"/>
                <w:szCs w:val="18"/>
              </w:rPr>
              <w:t>argine</w:t>
            </w:r>
            <w:r w:rsidR="009346F2">
              <w:rPr>
                <w:rFonts w:cs="Arial"/>
                <w:sz w:val="18"/>
                <w:szCs w:val="18"/>
              </w:rPr>
              <w:t>, senza precludere gli interventi di manutenzione dell’alveo</w:t>
            </w:r>
            <w:r w:rsidRPr="00F847B8">
              <w:rPr>
                <w:rFonts w:cs="Arial"/>
                <w:sz w:val="18"/>
                <w:szCs w:val="18"/>
              </w:rPr>
              <w:t xml:space="preserve">. Gli eventuali interventi di taglio riguarderanno la presenza di specie vegetali alloctone e/o "infestanti" da rimuovere gradualmente per facilitare l'insediamento delle specie igro-idrofile tipiche degli ambienti ripari. </w:t>
            </w:r>
            <w:r w:rsidR="009346F2">
              <w:rPr>
                <w:rFonts w:cs="Arial"/>
                <w:sz w:val="18"/>
                <w:szCs w:val="18"/>
              </w:rPr>
              <w:t xml:space="preserve">Gli </w:t>
            </w:r>
            <w:r w:rsidRPr="00F847B8">
              <w:rPr>
                <w:rFonts w:cs="Arial"/>
                <w:sz w:val="18"/>
                <w:szCs w:val="18"/>
              </w:rPr>
              <w:t xml:space="preserve">interventi di ripiantumazione </w:t>
            </w:r>
            <w:r w:rsidR="005A3D19">
              <w:rPr>
                <w:rFonts w:cs="Arial"/>
                <w:sz w:val="18"/>
                <w:szCs w:val="18"/>
              </w:rPr>
              <w:t xml:space="preserve">di specie coerenti con la potenzialità vegetazionale delle aree, </w:t>
            </w:r>
            <w:r w:rsidR="009346F2">
              <w:rPr>
                <w:rFonts w:cs="Arial"/>
                <w:sz w:val="18"/>
                <w:szCs w:val="18"/>
              </w:rPr>
              <w:t>favoriranno</w:t>
            </w:r>
            <w:r w:rsidR="009346F2" w:rsidRPr="00F847B8">
              <w:rPr>
                <w:rFonts w:cs="Arial"/>
                <w:sz w:val="18"/>
                <w:szCs w:val="18"/>
              </w:rPr>
              <w:t xml:space="preserve"> </w:t>
            </w:r>
            <w:r w:rsidRPr="00F847B8">
              <w:rPr>
                <w:rFonts w:cs="Arial"/>
                <w:sz w:val="18"/>
                <w:szCs w:val="18"/>
              </w:rPr>
              <w:t>la naturale evoluzione della vegetazione ripariale.</w:t>
            </w:r>
          </w:p>
        </w:tc>
      </w:tr>
      <w:tr w:rsidR="00D5407A" w:rsidRPr="004B19BF" w14:paraId="6AF91B9D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1C556E" w14:textId="77777777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0618FB" w14:textId="157B161D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 xml:space="preserve">Miglioramento/mantenimento del grado di conservazione </w:t>
            </w:r>
            <w:r w:rsidR="002D4CDB">
              <w:rPr>
                <w:rFonts w:cs="Arial"/>
                <w:sz w:val="18"/>
                <w:szCs w:val="18"/>
              </w:rPr>
              <w:t xml:space="preserve">dell’habitat biologico e delle popolazioni </w:t>
            </w:r>
            <w:r w:rsidRPr="004B19BF">
              <w:rPr>
                <w:rFonts w:cs="Arial"/>
                <w:sz w:val="18"/>
                <w:szCs w:val="18"/>
              </w:rPr>
              <w:t>dell</w:t>
            </w:r>
            <w:r>
              <w:rPr>
                <w:rFonts w:cs="Arial"/>
                <w:sz w:val="18"/>
                <w:szCs w:val="18"/>
              </w:rPr>
              <w:t>e specie</w:t>
            </w:r>
            <w:r w:rsidRPr="004B19BF">
              <w:rPr>
                <w:rFonts w:cs="Arial"/>
                <w:sz w:val="18"/>
                <w:szCs w:val="18"/>
              </w:rPr>
              <w:t xml:space="preserve"> target</w:t>
            </w:r>
          </w:p>
        </w:tc>
      </w:tr>
      <w:tr w:rsidR="00D5407A" w:rsidRPr="004B19BF" w14:paraId="4D879225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A54C58" w14:textId="77777777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EC4FA" w14:textId="6A7211D0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D5407A" w:rsidRPr="004B19BF" w14:paraId="44A2AB75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05B5A4A" w14:textId="77777777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BA3C3FE" w14:textId="6FB2CE04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Ente gestore –</w:t>
            </w:r>
            <w:r>
              <w:rPr>
                <w:rFonts w:cs="Arial"/>
                <w:sz w:val="18"/>
                <w:szCs w:val="18"/>
              </w:rPr>
              <w:t xml:space="preserve"> Proprietari conduttori dei fondi</w:t>
            </w:r>
          </w:p>
        </w:tc>
      </w:tr>
      <w:tr w:rsidR="00D5407A" w:rsidRPr="004B19BF" w14:paraId="21FA1E92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F988C95" w14:textId="77777777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560B3F" w14:textId="7112BC8B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Bassa</w:t>
            </w:r>
          </w:p>
        </w:tc>
      </w:tr>
      <w:tr w:rsidR="00D5407A" w:rsidRPr="004B19BF" w14:paraId="1A438771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7380BD" w14:textId="77777777" w:rsidR="00D5407A" w:rsidRPr="0094638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4638F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1E80E4" w14:textId="4C18EF9A" w:rsidR="00D5407A" w:rsidRPr="008851F6" w:rsidRDefault="0094638F" w:rsidP="00D5407A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67F89">
              <w:rPr>
                <w:rFonts w:cs="Arial"/>
                <w:sz w:val="18"/>
                <w:szCs w:val="18"/>
              </w:rPr>
              <w:t xml:space="preserve">Entro </w:t>
            </w:r>
            <w:r w:rsidR="00A61223" w:rsidRPr="00F67F89">
              <w:rPr>
                <w:rFonts w:cs="Arial"/>
                <w:sz w:val="18"/>
                <w:szCs w:val="18"/>
              </w:rPr>
              <w:t>2</w:t>
            </w:r>
            <w:r w:rsidRPr="00F67F89">
              <w:rPr>
                <w:rFonts w:cs="Arial"/>
                <w:sz w:val="18"/>
                <w:szCs w:val="18"/>
              </w:rPr>
              <w:t xml:space="preserve"> anni</w:t>
            </w:r>
            <w:r w:rsidR="00FD32C7" w:rsidRPr="00F67F89">
              <w:rPr>
                <w:rFonts w:cs="Arial"/>
                <w:sz w:val="18"/>
                <w:szCs w:val="18"/>
              </w:rPr>
              <w:t xml:space="preserve"> dall’approvazione del piano</w:t>
            </w:r>
            <w:r w:rsidRPr="00F67F89">
              <w:rPr>
                <w:rFonts w:cs="Arial"/>
                <w:sz w:val="18"/>
                <w:szCs w:val="18"/>
              </w:rPr>
              <w:t xml:space="preserve">; stima costo ad ettaro – </w:t>
            </w:r>
            <w:r w:rsidR="00F67F89" w:rsidRPr="008851F6">
              <w:rPr>
                <w:rFonts w:cs="Arial"/>
                <w:sz w:val="18"/>
                <w:szCs w:val="18"/>
              </w:rPr>
              <w:t>7800</w:t>
            </w:r>
            <w:r w:rsidRPr="00F67F89">
              <w:rPr>
                <w:rFonts w:cs="Arial"/>
                <w:sz w:val="18"/>
                <w:szCs w:val="18"/>
              </w:rPr>
              <w:t xml:space="preserve"> €/ha</w:t>
            </w:r>
            <w:r w:rsidR="00F67F89" w:rsidRPr="00F67F89">
              <w:rPr>
                <w:rFonts w:cs="Arial"/>
                <w:sz w:val="18"/>
                <w:szCs w:val="18"/>
              </w:rPr>
              <w:t xml:space="preserve"> (costo impianto) 570 €/ha (premio perdita del reddito) 640 €/ha (premio per la manutenzione primi due anno) 640 €/ha (premio per la manutenzione primi due anno) 490 €/ha (premio per la manutenzione i successivi anni)</w:t>
            </w:r>
          </w:p>
        </w:tc>
      </w:tr>
      <w:tr w:rsidR="00D5407A" w:rsidRPr="004B19BF" w14:paraId="701D0271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BAFC102" w14:textId="77777777" w:rsidR="00D5407A" w:rsidRPr="0094638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4638F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08C4418" w14:textId="226FB666" w:rsidR="00D5407A" w:rsidRPr="008851F6" w:rsidRDefault="00F67F89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63836">
              <w:rPr>
                <w:rFonts w:cs="Arial"/>
                <w:sz w:val="18"/>
                <w:szCs w:val="18"/>
              </w:rPr>
              <w:t>PSR misura 8.1</w:t>
            </w:r>
          </w:p>
        </w:tc>
      </w:tr>
      <w:tr w:rsidR="00D5407A" w:rsidRPr="004B19BF" w14:paraId="130CB2AA" w14:textId="77777777" w:rsidTr="00595108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F38BF5" w14:textId="77777777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14D06DA" w14:textId="77777777" w:rsidR="00D5407A" w:rsidRPr="004B19BF" w:rsidRDefault="00D5407A" w:rsidP="00D5407A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56945FB3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A9"/>
    <w:rsid w:val="000147A1"/>
    <w:rsid w:val="00015A8F"/>
    <w:rsid w:val="002764C6"/>
    <w:rsid w:val="002D4CDB"/>
    <w:rsid w:val="00343CC2"/>
    <w:rsid w:val="004F70B0"/>
    <w:rsid w:val="00533FC6"/>
    <w:rsid w:val="00557342"/>
    <w:rsid w:val="00595108"/>
    <w:rsid w:val="005A3D19"/>
    <w:rsid w:val="006F4E1D"/>
    <w:rsid w:val="00726991"/>
    <w:rsid w:val="0076739F"/>
    <w:rsid w:val="007E1E2D"/>
    <w:rsid w:val="008810C3"/>
    <w:rsid w:val="008851F6"/>
    <w:rsid w:val="009112DA"/>
    <w:rsid w:val="00926719"/>
    <w:rsid w:val="009346F2"/>
    <w:rsid w:val="0094638F"/>
    <w:rsid w:val="00991D26"/>
    <w:rsid w:val="00A03EA9"/>
    <w:rsid w:val="00A61223"/>
    <w:rsid w:val="00B16EF6"/>
    <w:rsid w:val="00D5407A"/>
    <w:rsid w:val="00D6462E"/>
    <w:rsid w:val="00D90FDE"/>
    <w:rsid w:val="00E257A5"/>
    <w:rsid w:val="00F67F89"/>
    <w:rsid w:val="00F847B8"/>
    <w:rsid w:val="00FD3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2D5F"/>
  <w15:chartTrackingRefBased/>
  <w15:docId w15:val="{8C0F2E01-B248-4039-AB47-3A45F4B2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5108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03E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03E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03E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03E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03E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03E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03E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03E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03E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03E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03EA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03EA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03EA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03EA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03EA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03EA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03E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03E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03EA9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03E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03E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03EA9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A03EA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03EA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03E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03EA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03EA9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595108"/>
  </w:style>
  <w:style w:type="paragraph" w:styleId="Revisione">
    <w:name w:val="Revision"/>
    <w:hidden/>
    <w:uiPriority w:val="99"/>
    <w:semiHidden/>
    <w:rsid w:val="009346F2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9346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46F2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46F2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46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46F2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DF576-A3EB-419F-B902-B3C7BC7D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12</cp:revision>
  <dcterms:created xsi:type="dcterms:W3CDTF">2024-04-03T10:53:00Z</dcterms:created>
  <dcterms:modified xsi:type="dcterms:W3CDTF">2024-08-27T11:27:00Z</dcterms:modified>
</cp:coreProperties>
</file>