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53"/>
        <w:gridCol w:w="2638"/>
        <w:gridCol w:w="1097"/>
        <w:gridCol w:w="1282"/>
        <w:gridCol w:w="2452"/>
      </w:tblGrid>
      <w:tr w:rsidR="000E5EBD" w:rsidRPr="00F76833" w14:paraId="13D54F93" w14:textId="77777777" w:rsidTr="00AB4A16">
        <w:trPr>
          <w:cantSplit/>
          <w:trHeight w:val="284"/>
        </w:trPr>
        <w:tc>
          <w:tcPr>
            <w:tcW w:w="1119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92D050"/>
            <w:vAlign w:val="center"/>
          </w:tcPr>
          <w:p w14:paraId="68FFBCB5" w14:textId="77777777" w:rsidR="000E5EBD" w:rsidRPr="00F76833" w:rsidRDefault="000E5EBD" w:rsidP="00AB4A16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bookmarkStart w:id="0" w:name="_Hlk151114459"/>
            <w:r w:rsidRPr="00F76833">
              <w:rPr>
                <w:rFonts w:cs="Arial"/>
                <w:b/>
                <w:sz w:val="18"/>
                <w:szCs w:val="18"/>
              </w:rPr>
              <w:t>Scheda</w:t>
            </w:r>
          </w:p>
          <w:p w14:paraId="35F74E6F" w14:textId="77777777" w:rsidR="000E5EBD" w:rsidRPr="00F76833" w:rsidRDefault="000E5EBD" w:rsidP="00AB4A16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88DAA1" w14:textId="77777777" w:rsidR="000E5EBD" w:rsidRPr="00F76833" w:rsidRDefault="000E5EBD" w:rsidP="00AB4A16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7C383850" w14:textId="36930D8E" w:rsidR="000E5EBD" w:rsidRPr="00F76833" w:rsidRDefault="000E5EBD" w:rsidP="00AB4A16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0E5EBD" w:rsidRPr="00F76833" w14:paraId="5CDF671D" w14:textId="77777777" w:rsidTr="00AB4A16">
        <w:trPr>
          <w:cantSplit/>
          <w:trHeight w:val="284"/>
        </w:trPr>
        <w:tc>
          <w:tcPr>
            <w:tcW w:w="1119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92D050"/>
            <w:vAlign w:val="center"/>
          </w:tcPr>
          <w:p w14:paraId="795A6D47" w14:textId="77777777" w:rsidR="000E5EBD" w:rsidRPr="00F76833" w:rsidRDefault="000E5EBD" w:rsidP="00AB4A16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1F2372" w14:textId="77777777" w:rsidR="000E5EBD" w:rsidRPr="00F76833" w:rsidRDefault="000E5EBD" w:rsidP="00AB4A16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4E9FA08F" w14:textId="427BD987" w:rsidR="000E5EBD" w:rsidRPr="00F76833" w:rsidRDefault="000E5EBD" w:rsidP="00AB4A16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0E5EBD" w:rsidRPr="00F76833" w14:paraId="6812C9CA" w14:textId="77777777" w:rsidTr="00AB4A16">
        <w:trPr>
          <w:cantSplit/>
          <w:trHeight w:val="284"/>
        </w:trPr>
        <w:tc>
          <w:tcPr>
            <w:tcW w:w="1119" w:type="pct"/>
            <w:vMerge w:val="restart"/>
            <w:tcBorders>
              <w:left w:val="single" w:sz="6" w:space="0" w:color="000000"/>
            </w:tcBorders>
            <w:shd w:val="clear" w:color="auto" w:fill="92D050"/>
            <w:vAlign w:val="center"/>
          </w:tcPr>
          <w:p w14:paraId="0183A339" w14:textId="77777777" w:rsidR="000E5EBD" w:rsidRPr="00F76833" w:rsidRDefault="000E5EBD" w:rsidP="000E5EBD">
            <w:pPr>
              <w:pStyle w:val="Paragrafoelenco"/>
              <w:widowControl w:val="0"/>
              <w:suppressAutoHyphens/>
              <w:snapToGrid w:val="0"/>
              <w:spacing w:after="0" w:line="240" w:lineRule="auto"/>
              <w:ind w:left="0" w:firstLine="0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197376" w14:textId="77777777" w:rsidR="000E5EBD" w:rsidRPr="00F76833" w:rsidRDefault="000E5EBD" w:rsidP="00AB4A16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6F40BA" w14:textId="0EEAFEA0" w:rsidR="000E5EBD" w:rsidRPr="000E5EBD" w:rsidRDefault="000E5EBD" w:rsidP="000E5EBD">
            <w:pPr>
              <w:spacing w:after="0" w:line="240" w:lineRule="auto"/>
              <w:ind w:firstLine="0"/>
              <w:rPr>
                <w:rFonts w:cs="Arial"/>
                <w:b/>
                <w:bCs/>
                <w:sz w:val="18"/>
                <w:szCs w:val="18"/>
              </w:rPr>
            </w:pPr>
            <w:r w:rsidRPr="000E5EBD">
              <w:rPr>
                <w:rFonts w:cs="Arial"/>
                <w:b/>
                <w:bCs/>
                <w:sz w:val="18"/>
                <w:szCs w:val="18"/>
              </w:rPr>
              <w:t>Redazione del regolamento dell</w:t>
            </w:r>
            <w:r w:rsidR="00850294">
              <w:rPr>
                <w:rFonts w:cs="Arial"/>
                <w:b/>
                <w:bCs/>
                <w:sz w:val="18"/>
                <w:szCs w:val="18"/>
              </w:rPr>
              <w:t>e</w:t>
            </w:r>
            <w:r w:rsidRPr="000E5EBD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r w:rsidR="00850294">
              <w:rPr>
                <w:rFonts w:cs="Arial"/>
                <w:b/>
                <w:bCs/>
                <w:sz w:val="18"/>
                <w:szCs w:val="18"/>
              </w:rPr>
              <w:t xml:space="preserve">attività di </w:t>
            </w:r>
            <w:r w:rsidRPr="000E5EBD">
              <w:rPr>
                <w:rFonts w:cs="Arial"/>
                <w:b/>
                <w:bCs/>
                <w:sz w:val="18"/>
                <w:szCs w:val="18"/>
              </w:rPr>
              <w:t xml:space="preserve">pesca </w:t>
            </w:r>
            <w:r w:rsidR="00850294">
              <w:rPr>
                <w:rFonts w:cs="Arial"/>
                <w:b/>
                <w:bCs/>
                <w:sz w:val="18"/>
                <w:szCs w:val="18"/>
              </w:rPr>
              <w:t>professionale e ricreativa</w:t>
            </w:r>
          </w:p>
        </w:tc>
      </w:tr>
      <w:tr w:rsidR="000E5EBD" w:rsidRPr="00F76833" w14:paraId="1A79FA63" w14:textId="77777777" w:rsidTr="00AB4A16">
        <w:trPr>
          <w:cantSplit/>
          <w:trHeight w:val="284"/>
        </w:trPr>
        <w:tc>
          <w:tcPr>
            <w:tcW w:w="1119" w:type="pct"/>
            <w:vMerge/>
            <w:tcBorders>
              <w:left w:val="single" w:sz="6" w:space="0" w:color="000000"/>
            </w:tcBorders>
            <w:shd w:val="clear" w:color="auto" w:fill="92D050"/>
            <w:vAlign w:val="center"/>
          </w:tcPr>
          <w:p w14:paraId="33D44501" w14:textId="77777777" w:rsidR="000E5EBD" w:rsidRPr="00F76833" w:rsidRDefault="000E5EBD" w:rsidP="00AB4A16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6807D5" w14:textId="50ABD9EE" w:rsidR="000E5EBD" w:rsidRPr="00F76833" w:rsidRDefault="00681408" w:rsidP="00AB4A16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</w:t>
            </w:r>
            <w:r w:rsidR="000E5EBD" w:rsidRPr="00F76833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3F0179BB" w14:textId="320ABB26" w:rsidR="000E5EBD" w:rsidRPr="00F76833" w:rsidRDefault="00681408" w:rsidP="00AB4A16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X</w:t>
            </w:r>
            <w:r w:rsidR="000E5EBD" w:rsidRPr="00F76833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12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A7BE72" w14:textId="77777777" w:rsidR="000E5EBD" w:rsidRPr="00F76833" w:rsidRDefault="000E5EBD" w:rsidP="00AB4A16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X</w:t>
            </w:r>
            <w:r w:rsidRPr="00F76833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5C41E824" w14:textId="77777777" w:rsidR="000E5EBD" w:rsidRPr="00F76833" w:rsidRDefault="000E5EBD" w:rsidP="00AB4A16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</w:t>
            </w:r>
            <w:r w:rsidRPr="00F76833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1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7386EA" w14:textId="77777777" w:rsidR="000E5EBD" w:rsidRPr="00F76833" w:rsidRDefault="000E5EBD" w:rsidP="00AB4A16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</w:t>
            </w:r>
            <w:r w:rsidRPr="00F76833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560BB70B" w14:textId="77777777" w:rsidR="000E5EBD" w:rsidRPr="00F76833" w:rsidRDefault="000E5EBD" w:rsidP="00AB4A16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X</w:t>
            </w:r>
            <w:r w:rsidRPr="00F76833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0E5EBD" w:rsidRPr="00F76833" w14:paraId="1F9A1D92" w14:textId="77777777" w:rsidTr="00AB4A16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877630" w14:textId="77777777" w:rsidR="000E5EBD" w:rsidRPr="00F76833" w:rsidRDefault="000E5EBD" w:rsidP="00AB4A16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CE018D" w14:textId="77777777" w:rsidR="000E5EBD" w:rsidRPr="00F76833" w:rsidRDefault="000E5EBD" w:rsidP="00AB4A16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X</w:t>
            </w:r>
            <w:r w:rsidRPr="00F76833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76833">
              <w:rPr>
                <w:rFonts w:cs="Arial"/>
                <w:sz w:val="18"/>
                <w:szCs w:val="18"/>
              </w:rPr>
              <w:t>intervento attivo (</w:t>
            </w:r>
            <w:r w:rsidRPr="00F76833">
              <w:rPr>
                <w:rFonts w:cs="Arial"/>
                <w:b/>
                <w:sz w:val="18"/>
                <w:szCs w:val="18"/>
              </w:rPr>
              <w:t>IA)</w:t>
            </w:r>
          </w:p>
          <w:p w14:paraId="591E7090" w14:textId="77777777" w:rsidR="000E5EBD" w:rsidRPr="00F76833" w:rsidRDefault="000E5EBD" w:rsidP="00AB4A16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</w:t>
            </w:r>
            <w:r w:rsidRPr="00F76833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76833">
              <w:rPr>
                <w:rFonts w:cs="Arial"/>
                <w:sz w:val="18"/>
                <w:szCs w:val="18"/>
              </w:rPr>
              <w:t>regolamentazione (</w:t>
            </w:r>
            <w:r w:rsidRPr="00F76833">
              <w:rPr>
                <w:rFonts w:cs="Arial"/>
                <w:b/>
                <w:sz w:val="18"/>
                <w:szCs w:val="18"/>
              </w:rPr>
              <w:t>RE)</w:t>
            </w:r>
          </w:p>
          <w:p w14:paraId="7FD12557" w14:textId="77777777" w:rsidR="000E5EBD" w:rsidRPr="00F76833" w:rsidRDefault="000E5EBD" w:rsidP="00AB4A16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</w:t>
            </w:r>
            <w:r w:rsidRPr="00F76833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76833">
              <w:rPr>
                <w:rFonts w:cs="Arial"/>
                <w:sz w:val="18"/>
                <w:szCs w:val="18"/>
              </w:rPr>
              <w:t>incentivazione (</w:t>
            </w:r>
            <w:r w:rsidRPr="00F76833">
              <w:rPr>
                <w:rFonts w:cs="Arial"/>
                <w:b/>
                <w:sz w:val="18"/>
                <w:szCs w:val="18"/>
              </w:rPr>
              <w:t>IN)</w:t>
            </w:r>
          </w:p>
          <w:p w14:paraId="1592836D" w14:textId="77777777" w:rsidR="000E5EBD" w:rsidRPr="00F76833" w:rsidRDefault="000E5EBD" w:rsidP="00AB4A16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</w:t>
            </w:r>
            <w:r w:rsidRPr="00F76833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76833">
              <w:rPr>
                <w:rFonts w:cs="Arial"/>
                <w:sz w:val="18"/>
                <w:szCs w:val="18"/>
              </w:rPr>
              <w:t>programma di monitoraggio e/o ricerca (</w:t>
            </w:r>
            <w:r w:rsidRPr="00F76833">
              <w:rPr>
                <w:rFonts w:cs="Arial"/>
                <w:b/>
                <w:sz w:val="18"/>
                <w:szCs w:val="18"/>
              </w:rPr>
              <w:t>MR)</w:t>
            </w:r>
          </w:p>
          <w:p w14:paraId="30C8BA26" w14:textId="77777777" w:rsidR="000E5EBD" w:rsidRPr="00F76833" w:rsidRDefault="000E5EBD" w:rsidP="00AB4A1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</w:t>
            </w:r>
            <w:r w:rsidRPr="00F76833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76833">
              <w:rPr>
                <w:rFonts w:cs="Arial"/>
                <w:sz w:val="18"/>
                <w:szCs w:val="18"/>
              </w:rPr>
              <w:t>programma di educazione e di informazione (</w:t>
            </w:r>
            <w:r w:rsidRPr="00F76833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0E5EBD" w:rsidRPr="00F76833" w14:paraId="67930E09" w14:textId="77777777" w:rsidTr="00AB4A16">
        <w:trPr>
          <w:cantSplit/>
          <w:trHeight w:val="284"/>
        </w:trPr>
        <w:tc>
          <w:tcPr>
            <w:tcW w:w="1119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766D34BD" w14:textId="77777777" w:rsidR="000E5EBD" w:rsidRPr="00F76833" w:rsidRDefault="000E5EBD" w:rsidP="00AB4A16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1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8D3A88" w14:textId="77777777" w:rsidR="000E5EBD" w:rsidRPr="00F76833" w:rsidRDefault="000E5EBD" w:rsidP="00AB4A16">
            <w:pPr>
              <w:spacing w:after="0" w:line="240" w:lineRule="auto"/>
              <w:ind w:firstLine="0"/>
              <w:jc w:val="left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F76833">
              <w:rPr>
                <w:rFonts w:eastAsia="Wingdings" w:cs="Arial"/>
                <w:b/>
                <w:bCs/>
                <w:sz w:val="18"/>
                <w:szCs w:val="18"/>
              </w:rPr>
              <w:t>Habita</w:t>
            </w:r>
            <w:r>
              <w:rPr>
                <w:rFonts w:eastAsia="Wingdings" w:cs="Arial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19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0B67A0" w14:textId="77777777" w:rsidR="000E5EBD" w:rsidRPr="00F76833" w:rsidRDefault="000E5EBD" w:rsidP="00AB4A16">
            <w:pPr>
              <w:spacing w:after="0" w:line="240" w:lineRule="auto"/>
              <w:ind w:firstLine="0"/>
              <w:jc w:val="left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F76833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0E5EBD" w:rsidRPr="00F76833" w14:paraId="789D5250" w14:textId="77777777" w:rsidTr="00AB4A16">
        <w:trPr>
          <w:cantSplit/>
          <w:trHeight w:val="284"/>
        </w:trPr>
        <w:tc>
          <w:tcPr>
            <w:tcW w:w="1119" w:type="pct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8E4FDC" w14:textId="77777777" w:rsidR="000E5EBD" w:rsidRPr="00F76833" w:rsidRDefault="000E5EBD" w:rsidP="00AB4A16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9A5435" w14:textId="0C92C2CE" w:rsidR="000E5EBD" w:rsidRPr="00F76833" w:rsidRDefault="000E5EBD" w:rsidP="00AB4A16">
            <w:pPr>
              <w:spacing w:after="0" w:line="240" w:lineRule="auto"/>
              <w:ind w:firstLine="0"/>
              <w:jc w:val="left"/>
              <w:rPr>
                <w:rFonts w:eastAsia="Wingdings"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>1170</w:t>
            </w:r>
          </w:p>
        </w:tc>
      </w:tr>
      <w:tr w:rsidR="000E5EBD" w:rsidRPr="00F76833" w14:paraId="75A6DFA8" w14:textId="77777777" w:rsidTr="00AB4A16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466BB7D4" w14:textId="77777777" w:rsidR="000E5EBD" w:rsidRPr="00F76833" w:rsidRDefault="000E5EBD" w:rsidP="00AB4A16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Pressioni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D782818" w14:textId="6DDBCB0F" w:rsidR="000E5EBD" w:rsidRPr="00F76833" w:rsidRDefault="000E5EBD" w:rsidP="00AB4A16">
            <w:pPr>
              <w:spacing w:after="0" w:line="240" w:lineRule="auto"/>
              <w:ind w:firstLine="0"/>
              <w:jc w:val="left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  <w:r w:rsidRPr="000E5EBD">
              <w:rPr>
                <w:rFonts w:cs="Arial"/>
                <w:noProof/>
                <w:sz w:val="18"/>
                <w:szCs w:val="18"/>
                <w14:ligatures w14:val="standardContextual"/>
              </w:rPr>
              <w:t>PG03</w:t>
            </w:r>
            <w:r w:rsidR="001C021A">
              <w:rPr>
                <w:rFonts w:cs="Arial"/>
                <w:noProof/>
                <w:sz w:val="18"/>
                <w:szCs w:val="18"/>
                <w14:ligatures w14:val="standardContextual"/>
              </w:rPr>
              <w:t xml:space="preserve">, </w:t>
            </w:r>
            <w:r w:rsidR="001C021A" w:rsidRPr="00E131E3">
              <w:rPr>
                <w:rFonts w:cs="Arial"/>
                <w:noProof/>
                <w:sz w:val="18"/>
                <w:szCs w:val="18"/>
                <w14:ligatures w14:val="standardContextual"/>
              </w:rPr>
              <w:t>PF05</w:t>
            </w:r>
          </w:p>
        </w:tc>
      </w:tr>
      <w:tr w:rsidR="000E5EBD" w:rsidRPr="00F76833" w14:paraId="2E0B3F79" w14:textId="77777777" w:rsidTr="00AB4A16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1DDF200D" w14:textId="77777777" w:rsidR="000E5EBD" w:rsidRPr="00F76833" w:rsidRDefault="000E5EBD" w:rsidP="00AB4A16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3DD5B7B" w14:textId="4D0C8046" w:rsidR="000E5EBD" w:rsidRPr="00F76833" w:rsidRDefault="000E5EBD" w:rsidP="000E5EBD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noProof/>
                <w:sz w:val="18"/>
                <w:szCs w:val="18"/>
                <w14:ligatures w14:val="standardContextual"/>
              </w:rPr>
              <w:t>Tutto il sito</w:t>
            </w:r>
            <w:r w:rsidR="00D3129A">
              <w:rPr>
                <w:rFonts w:cs="Arial"/>
                <w:noProof/>
                <w:sz w:val="18"/>
                <w:szCs w:val="18"/>
                <w14:ligatures w14:val="standardContextual"/>
              </w:rPr>
              <w:t>/siti</w:t>
            </w:r>
          </w:p>
        </w:tc>
      </w:tr>
      <w:tr w:rsidR="000E5EBD" w:rsidRPr="00F76833" w14:paraId="61881021" w14:textId="77777777" w:rsidTr="00AB4A16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08ECADF" w14:textId="77777777" w:rsidR="000E5EBD" w:rsidRPr="00AF7A63" w:rsidRDefault="000E5EBD" w:rsidP="00AB4A16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AF7A63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1096C30" w14:textId="586FC952" w:rsidR="000E5EBD" w:rsidRPr="00AF7A63" w:rsidRDefault="00850294" w:rsidP="00AF7A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850294">
              <w:rPr>
                <w:rFonts w:cs="Arial"/>
                <w:sz w:val="18"/>
                <w:szCs w:val="18"/>
              </w:rPr>
              <w:t>L'habitat fa parte di un complesso mosaico che risente dell</w:t>
            </w:r>
            <w:r>
              <w:rPr>
                <w:rFonts w:cs="Arial"/>
                <w:sz w:val="18"/>
                <w:szCs w:val="18"/>
              </w:rPr>
              <w:t xml:space="preserve">e </w:t>
            </w:r>
            <w:r w:rsidRPr="00850294">
              <w:rPr>
                <w:rFonts w:cs="Arial"/>
                <w:sz w:val="18"/>
                <w:szCs w:val="18"/>
              </w:rPr>
              <w:t>attività</w:t>
            </w:r>
            <w:r>
              <w:rPr>
                <w:rFonts w:cs="Arial"/>
                <w:sz w:val="18"/>
                <w:szCs w:val="18"/>
              </w:rPr>
              <w:t xml:space="preserve"> di pesca</w:t>
            </w:r>
            <w:r w:rsidRPr="00850294">
              <w:rPr>
                <w:rFonts w:cs="Arial"/>
                <w:sz w:val="18"/>
                <w:szCs w:val="18"/>
              </w:rPr>
              <w:t>, sia professional</w:t>
            </w:r>
            <w:r>
              <w:rPr>
                <w:rFonts w:cs="Arial"/>
                <w:sz w:val="18"/>
                <w:szCs w:val="18"/>
              </w:rPr>
              <w:t>i</w:t>
            </w:r>
            <w:r w:rsidRPr="00850294">
              <w:rPr>
                <w:rFonts w:cs="Arial"/>
                <w:sz w:val="18"/>
                <w:szCs w:val="18"/>
              </w:rPr>
              <w:t xml:space="preserve"> che ricreativ</w:t>
            </w:r>
            <w:r>
              <w:rPr>
                <w:rFonts w:cs="Arial"/>
                <w:sz w:val="18"/>
                <w:szCs w:val="18"/>
              </w:rPr>
              <w:t>e</w:t>
            </w:r>
            <w:r w:rsidRPr="00850294">
              <w:rPr>
                <w:rFonts w:cs="Arial"/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 xml:space="preserve">come ad esempio la </w:t>
            </w:r>
            <w:r w:rsidRPr="00850294">
              <w:rPr>
                <w:rFonts w:cs="Arial"/>
                <w:sz w:val="18"/>
                <w:szCs w:val="18"/>
              </w:rPr>
              <w:t xml:space="preserve">raccolta dei "moscioli" in aree non in concessione, </w:t>
            </w:r>
            <w:r>
              <w:rPr>
                <w:rFonts w:cs="Arial"/>
                <w:sz w:val="18"/>
                <w:szCs w:val="18"/>
              </w:rPr>
              <w:t>pesca mediante utilizzo di reti da posta o a tramaglio, p</w:t>
            </w:r>
            <w:r w:rsidRPr="00E131E3">
              <w:rPr>
                <w:rFonts w:cs="Arial"/>
                <w:sz w:val="18"/>
                <w:szCs w:val="18"/>
              </w:rPr>
              <w:t>esca subacquea in apnea di mitili e altri molluschi (gasteropodi)</w:t>
            </w:r>
            <w:r>
              <w:rPr>
                <w:rFonts w:cs="Arial"/>
                <w:sz w:val="18"/>
                <w:szCs w:val="18"/>
              </w:rPr>
              <w:t>. Tali attività possono determinare la distruzione dei substrati</w:t>
            </w:r>
            <w:r w:rsidR="00D3129A">
              <w:rPr>
                <w:rFonts w:cs="Arial"/>
                <w:sz w:val="18"/>
                <w:szCs w:val="18"/>
              </w:rPr>
              <w:t>,</w:t>
            </w:r>
            <w:r>
              <w:rPr>
                <w:rFonts w:cs="Arial"/>
                <w:sz w:val="18"/>
                <w:szCs w:val="18"/>
              </w:rPr>
              <w:t xml:space="preserve"> organogeni</w:t>
            </w:r>
            <w:r w:rsidR="00D3129A">
              <w:rPr>
                <w:rFonts w:cs="Arial"/>
                <w:sz w:val="18"/>
                <w:szCs w:val="18"/>
              </w:rPr>
              <w:t xml:space="preserve"> e </w:t>
            </w:r>
            <w:proofErr w:type="gramStart"/>
            <w:r w:rsidR="00D3129A">
              <w:rPr>
                <w:rFonts w:cs="Arial"/>
                <w:sz w:val="18"/>
                <w:szCs w:val="18"/>
              </w:rPr>
              <w:t>non</w:t>
            </w:r>
            <w:proofErr w:type="gramEnd"/>
            <w:r w:rsidR="00D3129A">
              <w:rPr>
                <w:rFonts w:cs="Arial"/>
                <w:sz w:val="18"/>
                <w:szCs w:val="18"/>
              </w:rPr>
              <w:t>,</w:t>
            </w:r>
            <w:r>
              <w:rPr>
                <w:rFonts w:cs="Arial"/>
                <w:sz w:val="18"/>
                <w:szCs w:val="18"/>
              </w:rPr>
              <w:t xml:space="preserve"> in corrispondenza della costa rocciosa</w:t>
            </w:r>
            <w:r w:rsidRPr="00850294">
              <w:rPr>
                <w:rFonts w:cs="Arial"/>
                <w:sz w:val="18"/>
                <w:szCs w:val="18"/>
              </w:rPr>
              <w:t>.</w:t>
            </w:r>
          </w:p>
        </w:tc>
      </w:tr>
      <w:tr w:rsidR="000E5EBD" w:rsidRPr="00F76833" w14:paraId="696BF89B" w14:textId="77777777" w:rsidTr="00AB4A16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BDFAB26" w14:textId="77777777" w:rsidR="000E5EBD" w:rsidRPr="00F76833" w:rsidRDefault="000E5EBD" w:rsidP="00AB4A16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B5A447" w14:textId="66C1FC3F" w:rsidR="000E5EBD" w:rsidRPr="00F76833" w:rsidRDefault="00AF7A63" w:rsidP="00AB4A1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Attuazione della misura</w:t>
            </w:r>
          </w:p>
        </w:tc>
      </w:tr>
      <w:tr w:rsidR="000E5EBD" w:rsidRPr="00F76833" w14:paraId="2605801E" w14:textId="77777777" w:rsidTr="00AB4A16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2D30B7" w14:textId="77777777" w:rsidR="000E5EBD" w:rsidRPr="00F76833" w:rsidRDefault="000E5EBD" w:rsidP="00AB4A16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B2D796" w14:textId="0B35CC24" w:rsidR="000E5EBD" w:rsidRPr="00F76833" w:rsidRDefault="00794AC2" w:rsidP="00AB4A1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Riduzione dell’alt</w:t>
            </w:r>
            <w:r w:rsidR="00AF7A63">
              <w:rPr>
                <w:rFonts w:cs="Arial"/>
                <w:sz w:val="18"/>
                <w:szCs w:val="18"/>
              </w:rPr>
              <w:t>erazione dell’habitat</w:t>
            </w:r>
          </w:p>
        </w:tc>
      </w:tr>
      <w:tr w:rsidR="000E5EBD" w:rsidRPr="00F76833" w14:paraId="7517FDAD" w14:textId="77777777" w:rsidTr="00AB4A16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10C495" w14:textId="77777777" w:rsidR="000E5EBD" w:rsidRPr="00F76833" w:rsidRDefault="000E5EBD" w:rsidP="00AB4A16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97592F" w14:textId="77B5B463" w:rsidR="0093436F" w:rsidRDefault="00092BEE" w:rsidP="00AF7A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Redazione di un regolamento delle attività di pesca</w:t>
            </w:r>
            <w:r w:rsidR="00537054">
              <w:rPr>
                <w:rFonts w:cs="Arial"/>
                <w:sz w:val="18"/>
                <w:szCs w:val="18"/>
              </w:rPr>
              <w:t xml:space="preserve"> </w:t>
            </w:r>
            <w:r w:rsidR="00537054" w:rsidRPr="00537054">
              <w:rPr>
                <w:rFonts w:cs="Arial"/>
                <w:sz w:val="18"/>
                <w:szCs w:val="18"/>
              </w:rPr>
              <w:t>professionale e ricreativa</w:t>
            </w:r>
            <w:r w:rsidR="0064037F">
              <w:rPr>
                <w:rFonts w:cs="Arial"/>
                <w:sz w:val="18"/>
                <w:szCs w:val="18"/>
              </w:rPr>
              <w:t xml:space="preserve"> che,</w:t>
            </w:r>
            <w:r w:rsidR="00537054">
              <w:rPr>
                <w:rFonts w:cs="Arial"/>
                <w:sz w:val="18"/>
                <w:szCs w:val="18"/>
              </w:rPr>
              <w:t xml:space="preserve"> oltre a stabilire modalità e periodi di esercizio dell’attività di pesca all’interno dei siti Natura 2000, sarà corredato da documentazione cartografica dalla quale desumere in modo chiaro l’ambito di applicazione del regolamento e le eventuali aree di interdizione </w:t>
            </w:r>
            <w:r w:rsidR="0064037F">
              <w:rPr>
                <w:rFonts w:cs="Arial"/>
                <w:sz w:val="18"/>
                <w:szCs w:val="18"/>
              </w:rPr>
              <w:t>de</w:t>
            </w:r>
            <w:r w:rsidR="00537054">
              <w:rPr>
                <w:rFonts w:cs="Arial"/>
                <w:sz w:val="18"/>
                <w:szCs w:val="18"/>
              </w:rPr>
              <w:t xml:space="preserve">lle attività </w:t>
            </w:r>
            <w:r w:rsidR="0064037F">
              <w:rPr>
                <w:rFonts w:cs="Arial"/>
                <w:sz w:val="18"/>
                <w:szCs w:val="18"/>
              </w:rPr>
              <w:t>di</w:t>
            </w:r>
            <w:r w:rsidR="0093436F">
              <w:rPr>
                <w:rFonts w:cs="Arial"/>
                <w:sz w:val="18"/>
                <w:szCs w:val="18"/>
              </w:rPr>
              <w:t>:</w:t>
            </w:r>
          </w:p>
          <w:p w14:paraId="43AA54EE" w14:textId="3682CF2B" w:rsidR="00537054" w:rsidRDefault="0093436F" w:rsidP="0093436F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3436F">
              <w:rPr>
                <w:rFonts w:cs="Arial"/>
                <w:sz w:val="18"/>
                <w:szCs w:val="18"/>
              </w:rPr>
              <w:t>raccolta dei "moscioli" in aree non in concessione</w:t>
            </w:r>
            <w:r>
              <w:rPr>
                <w:rFonts w:cs="Arial"/>
                <w:sz w:val="18"/>
                <w:szCs w:val="18"/>
              </w:rPr>
              <w:t>;</w:t>
            </w:r>
          </w:p>
          <w:p w14:paraId="1C466383" w14:textId="26532535" w:rsidR="0093436F" w:rsidRDefault="0093436F" w:rsidP="0093436F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pesca mediante utilizzo di reti da posta o a tramaglio;</w:t>
            </w:r>
          </w:p>
          <w:p w14:paraId="1803A850" w14:textId="320F5557" w:rsidR="0093436F" w:rsidRPr="0093436F" w:rsidRDefault="0093436F" w:rsidP="0093436F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Pr="00E131E3">
              <w:rPr>
                <w:rFonts w:cs="Arial"/>
                <w:sz w:val="18"/>
                <w:szCs w:val="18"/>
              </w:rPr>
              <w:t>esca subacquea in apnea di mitili e altri molluschi (gasteropodi)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3B47A2C6" w14:textId="69F83667" w:rsidR="00537054" w:rsidRDefault="00537054" w:rsidP="00AF7A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Il regolamento </w:t>
            </w:r>
            <w:r w:rsidR="00703E05">
              <w:rPr>
                <w:rFonts w:cs="Arial"/>
                <w:sz w:val="18"/>
                <w:szCs w:val="18"/>
              </w:rPr>
              <w:t>sarà</w:t>
            </w:r>
            <w:r>
              <w:rPr>
                <w:rFonts w:cs="Arial"/>
                <w:sz w:val="18"/>
                <w:szCs w:val="18"/>
              </w:rPr>
              <w:t xml:space="preserve"> redatto </w:t>
            </w:r>
            <w:r w:rsidR="00BE1F7C">
              <w:rPr>
                <w:rFonts w:cs="Arial"/>
                <w:sz w:val="18"/>
                <w:szCs w:val="18"/>
              </w:rPr>
              <w:t>con il coinvolgimento del</w:t>
            </w:r>
            <w:r>
              <w:rPr>
                <w:rFonts w:cs="Arial"/>
                <w:sz w:val="18"/>
                <w:szCs w:val="18"/>
              </w:rPr>
              <w:t xml:space="preserve">la cooperativa dei pescatori nonché </w:t>
            </w:r>
            <w:r w:rsidR="00BE1F7C">
              <w:rPr>
                <w:rFonts w:cs="Arial"/>
                <w:sz w:val="18"/>
                <w:szCs w:val="18"/>
              </w:rPr>
              <w:t>de</w:t>
            </w:r>
            <w:r>
              <w:rPr>
                <w:rFonts w:cs="Arial"/>
                <w:sz w:val="18"/>
                <w:szCs w:val="18"/>
              </w:rPr>
              <w:t>i portatori di interesse.</w:t>
            </w:r>
          </w:p>
          <w:p w14:paraId="6A525F1E" w14:textId="57AD7938" w:rsidR="00537054" w:rsidRPr="00F76833" w:rsidRDefault="00537054" w:rsidP="00AF7A6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La redazione del regolamento </w:t>
            </w:r>
            <w:r w:rsidR="00703E05">
              <w:rPr>
                <w:rFonts w:cs="Arial"/>
                <w:sz w:val="18"/>
                <w:szCs w:val="18"/>
              </w:rPr>
              <w:t>sarà</w:t>
            </w:r>
            <w:r>
              <w:rPr>
                <w:rFonts w:cs="Arial"/>
                <w:sz w:val="18"/>
                <w:szCs w:val="18"/>
              </w:rPr>
              <w:t xml:space="preserve"> realizzata previa acquisizione di tutta la documentazione tecnico scientifica pregressa comprensiva delle attività di monitoraggio.</w:t>
            </w:r>
          </w:p>
        </w:tc>
      </w:tr>
      <w:tr w:rsidR="000E5EBD" w:rsidRPr="00F76833" w14:paraId="1223FA05" w14:textId="77777777" w:rsidTr="00AB4A16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6BD8C0" w14:textId="77777777" w:rsidR="000E5EBD" w:rsidRPr="00F76833" w:rsidRDefault="000E5EBD" w:rsidP="00AB4A1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66FDD1" w14:textId="77777777" w:rsidR="000E5EBD" w:rsidRPr="00F76833" w:rsidRDefault="000E5EBD" w:rsidP="00AB4A1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sz w:val="18"/>
                <w:szCs w:val="18"/>
              </w:rPr>
              <w:t>Mantenimento/miglioramento del grado di conservazione dell’habitat target</w:t>
            </w:r>
          </w:p>
        </w:tc>
      </w:tr>
      <w:tr w:rsidR="000E5EBD" w:rsidRPr="00F76833" w14:paraId="153AEB0B" w14:textId="77777777" w:rsidTr="00AB4A16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3B430C" w14:textId="77777777" w:rsidR="000E5EBD" w:rsidRPr="00F76833" w:rsidRDefault="000E5EBD" w:rsidP="00AB4A1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87E3CC" w14:textId="4C32C90D" w:rsidR="000E5EBD" w:rsidRPr="00F76833" w:rsidRDefault="00681408" w:rsidP="00AB4A1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Pesca</w:t>
            </w:r>
          </w:p>
        </w:tc>
      </w:tr>
      <w:tr w:rsidR="000E5EBD" w:rsidRPr="00F76833" w14:paraId="0FF8B2A9" w14:textId="77777777" w:rsidTr="00AB4A16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27237F0" w14:textId="77777777" w:rsidR="000E5EBD" w:rsidRPr="00F76833" w:rsidRDefault="000E5EBD" w:rsidP="00AB4A16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2D8BDDD" w14:textId="579C632B" w:rsidR="000E5EBD" w:rsidRPr="00F76833" w:rsidRDefault="00681408" w:rsidP="00AB4A1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Ente gestore</w:t>
            </w:r>
          </w:p>
        </w:tc>
      </w:tr>
      <w:tr w:rsidR="000E5EBD" w:rsidRPr="00F76833" w14:paraId="350AB0AC" w14:textId="77777777" w:rsidTr="00AB4A16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2EABC09" w14:textId="77777777" w:rsidR="000E5EBD" w:rsidRPr="009618C9" w:rsidRDefault="000E5EBD" w:rsidP="00AB4A1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9618C9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3C796B" w14:textId="645050F6" w:rsidR="000E5EBD" w:rsidRPr="00F76833" w:rsidRDefault="00D3129A" w:rsidP="00AB4A1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Media</w:t>
            </w:r>
          </w:p>
        </w:tc>
      </w:tr>
      <w:tr w:rsidR="000E5EBD" w:rsidRPr="00F76833" w14:paraId="749C6883" w14:textId="77777777" w:rsidTr="00AB4A16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28962A" w14:textId="77777777" w:rsidR="000E5EBD" w:rsidRPr="009618C9" w:rsidRDefault="000E5EBD" w:rsidP="00AB4A1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9618C9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15C7BD" w14:textId="6B23C766" w:rsidR="000E5EBD" w:rsidRPr="00F76833" w:rsidRDefault="009618C9" w:rsidP="00AB4A16">
            <w:pPr>
              <w:tabs>
                <w:tab w:val="left" w:pos="541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Entro 7 anni dall’approvazione del piano; </w:t>
            </w:r>
            <w:r w:rsidRPr="0094638F">
              <w:rPr>
                <w:rFonts w:cs="Arial"/>
                <w:sz w:val="18"/>
                <w:szCs w:val="18"/>
              </w:rPr>
              <w:t>stima costo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D3129A">
              <w:rPr>
                <w:rFonts w:cs="Arial"/>
                <w:sz w:val="18"/>
                <w:szCs w:val="18"/>
              </w:rPr>
              <w:t>30</w:t>
            </w:r>
            <w:r w:rsidR="003C7C46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 xml:space="preserve">000 </w:t>
            </w:r>
            <w:r w:rsidRPr="0094638F">
              <w:rPr>
                <w:rFonts w:cs="Arial"/>
                <w:sz w:val="18"/>
                <w:szCs w:val="18"/>
              </w:rPr>
              <w:t>€</w:t>
            </w:r>
          </w:p>
        </w:tc>
      </w:tr>
      <w:tr w:rsidR="000E5EBD" w:rsidRPr="00F76833" w14:paraId="457EA84A" w14:textId="77777777" w:rsidTr="00AB4A16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F62550A" w14:textId="77777777" w:rsidR="000E5EBD" w:rsidRPr="009618C9" w:rsidRDefault="000E5EBD" w:rsidP="00AB4A1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9618C9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A652664" w14:textId="5874AEC6" w:rsidR="000E5EBD" w:rsidRPr="00F76833" w:rsidRDefault="009618C9" w:rsidP="00AB4A1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Fondi Ente Gestore</w:t>
            </w:r>
          </w:p>
        </w:tc>
      </w:tr>
      <w:tr w:rsidR="000E5EBD" w:rsidRPr="00F76833" w14:paraId="2ABE4398" w14:textId="77777777" w:rsidTr="00AB4A16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70AF02F" w14:textId="77777777" w:rsidR="000E5EBD" w:rsidRPr="00F76833" w:rsidRDefault="000E5EBD" w:rsidP="00AB4A1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9ACF19F" w14:textId="77777777" w:rsidR="000E5EBD" w:rsidRPr="00F76833" w:rsidRDefault="000E5EBD" w:rsidP="00AB4A1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bookmarkEnd w:id="0"/>
    </w:tbl>
    <w:p w14:paraId="3C19ABE5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A87EBA"/>
    <w:multiLevelType w:val="hybridMultilevel"/>
    <w:tmpl w:val="C766418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B439B7"/>
    <w:multiLevelType w:val="hybridMultilevel"/>
    <w:tmpl w:val="D514ED58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2"/>
  </w:num>
  <w:num w:numId="2" w16cid:durableId="1671060808">
    <w:abstractNumId w:val="2"/>
  </w:num>
  <w:num w:numId="3" w16cid:durableId="893321344">
    <w:abstractNumId w:val="1"/>
  </w:num>
  <w:num w:numId="4" w16cid:durableId="1963800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A4E"/>
    <w:rsid w:val="00092BEE"/>
    <w:rsid w:val="000E5EBD"/>
    <w:rsid w:val="001C021A"/>
    <w:rsid w:val="002212FB"/>
    <w:rsid w:val="002764C6"/>
    <w:rsid w:val="00293025"/>
    <w:rsid w:val="002A3B0E"/>
    <w:rsid w:val="003C7C46"/>
    <w:rsid w:val="004F70B0"/>
    <w:rsid w:val="00537054"/>
    <w:rsid w:val="0064037F"/>
    <w:rsid w:val="00681408"/>
    <w:rsid w:val="00703E05"/>
    <w:rsid w:val="00726991"/>
    <w:rsid w:val="00794AC2"/>
    <w:rsid w:val="00850294"/>
    <w:rsid w:val="0093436F"/>
    <w:rsid w:val="009618C9"/>
    <w:rsid w:val="00976EA8"/>
    <w:rsid w:val="00AF7A63"/>
    <w:rsid w:val="00B16EF6"/>
    <w:rsid w:val="00B71C2E"/>
    <w:rsid w:val="00BE1F7C"/>
    <w:rsid w:val="00C07A4E"/>
    <w:rsid w:val="00D3129A"/>
    <w:rsid w:val="00D4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BC28C"/>
  <w15:chartTrackingRefBased/>
  <w15:docId w15:val="{C5C805D4-D567-410C-8E6E-141CC51BD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E5EBD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07A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07A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07A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07A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07A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07A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07A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07A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07A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07A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07A4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07A4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07A4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07A4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07A4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07A4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07A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07A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07A4E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07A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07A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07A4E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C07A4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07A4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07A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07A4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07A4E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0E5EBD"/>
  </w:style>
  <w:style w:type="paragraph" w:styleId="Revisione">
    <w:name w:val="Revision"/>
    <w:hidden/>
    <w:uiPriority w:val="99"/>
    <w:semiHidden/>
    <w:rsid w:val="00D3129A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23</cp:revision>
  <dcterms:created xsi:type="dcterms:W3CDTF">2024-03-14T09:31:00Z</dcterms:created>
  <dcterms:modified xsi:type="dcterms:W3CDTF">2024-08-21T06:58:00Z</dcterms:modified>
</cp:coreProperties>
</file>