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97"/>
        <w:gridCol w:w="2192"/>
        <w:gridCol w:w="1115"/>
        <w:gridCol w:w="1418"/>
        <w:gridCol w:w="2400"/>
      </w:tblGrid>
      <w:tr w:rsidR="00317F2B" w:rsidRPr="004B19BF" w14:paraId="1D4A2135" w14:textId="77777777" w:rsidTr="00FF0EA6">
        <w:trPr>
          <w:cantSplit/>
          <w:trHeight w:val="284"/>
        </w:trPr>
        <w:tc>
          <w:tcPr>
            <w:tcW w:w="249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40631960" w14:textId="77777777" w:rsidR="00317F2B" w:rsidRPr="009A4E6A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  <w:highlight w:val="red"/>
              </w:rPr>
            </w:pPr>
            <w:r w:rsidRPr="009A4E6A">
              <w:rPr>
                <w:rFonts w:cs="Arial"/>
                <w:b/>
                <w:sz w:val="18"/>
                <w:szCs w:val="18"/>
                <w:highlight w:val="red"/>
              </w:rPr>
              <w:t>Scheda</w:t>
            </w:r>
          </w:p>
          <w:p w14:paraId="34D147C0" w14:textId="77777777" w:rsidR="00317F2B" w:rsidRPr="009A4E6A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BA5C5A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 w:themeFill="text2" w:themeFillTint="33"/>
            <w:vAlign w:val="center"/>
          </w:tcPr>
          <w:p w14:paraId="1775CD1A" w14:textId="77777777" w:rsidR="00317F2B" w:rsidRPr="004B19BF" w:rsidRDefault="00317F2B" w:rsidP="00FF0EA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17F2B" w:rsidRPr="004B19BF" w14:paraId="72AE83A4" w14:textId="77777777" w:rsidTr="00FF0EA6">
        <w:trPr>
          <w:cantSplit/>
          <w:trHeight w:val="284"/>
        </w:trPr>
        <w:tc>
          <w:tcPr>
            <w:tcW w:w="249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3FE8C206" w14:textId="77777777" w:rsidR="00317F2B" w:rsidRPr="009A4E6A" w:rsidRDefault="00317F2B" w:rsidP="00FF0EA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  <w:highlight w:val="red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683CDD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 w:themeFill="text2" w:themeFillTint="33"/>
            <w:vAlign w:val="center"/>
          </w:tcPr>
          <w:p w14:paraId="3CF3DE93" w14:textId="77777777" w:rsidR="00317F2B" w:rsidRPr="004B19BF" w:rsidRDefault="00317F2B" w:rsidP="00FF0EA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317F2B" w:rsidRPr="004B19BF" w14:paraId="6E5F1C62" w14:textId="77777777" w:rsidTr="009A4E6A">
        <w:trPr>
          <w:cantSplit/>
          <w:trHeight w:val="284"/>
        </w:trPr>
        <w:tc>
          <w:tcPr>
            <w:tcW w:w="2497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2BFD2D68" w14:textId="77777777" w:rsidR="00317F2B" w:rsidRPr="009A4E6A" w:rsidRDefault="00317F2B" w:rsidP="00FF0EA6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  <w:highlight w:val="red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C3A7F4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9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0F05D2" w14:textId="3B5A5DA4" w:rsidR="00317F2B" w:rsidRPr="00595108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317F2B">
              <w:rPr>
                <w:rFonts w:cs="Arial"/>
                <w:b/>
                <w:bCs/>
                <w:sz w:val="18"/>
                <w:szCs w:val="18"/>
              </w:rPr>
              <w:t xml:space="preserve">Incentivazione al rilascio di alberi 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morti o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deperienti</w:t>
            </w:r>
            <w:proofErr w:type="spellEnd"/>
          </w:p>
        </w:tc>
      </w:tr>
      <w:tr w:rsidR="00317F2B" w:rsidRPr="004B19BF" w14:paraId="4253EA60" w14:textId="77777777" w:rsidTr="009A4E6A">
        <w:trPr>
          <w:cantSplit/>
          <w:trHeight w:val="284"/>
        </w:trPr>
        <w:tc>
          <w:tcPr>
            <w:tcW w:w="2497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51D0C64C" w14:textId="77777777" w:rsidR="00317F2B" w:rsidRPr="004B19BF" w:rsidRDefault="00317F2B" w:rsidP="00FF0EA6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5444A0" w14:textId="54E1D9F1" w:rsidR="00317F2B" w:rsidRPr="004B19BF" w:rsidRDefault="00317F2B" w:rsidP="00FF0EA6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28D980FF" w14:textId="12B97626" w:rsidR="00317F2B" w:rsidRPr="004B19BF" w:rsidRDefault="00317F2B" w:rsidP="00FF0EA6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5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368C6E" w14:textId="77777777" w:rsidR="00317F2B" w:rsidRPr="004B19BF" w:rsidRDefault="00317F2B" w:rsidP="00FF0EA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36B630FA" w14:textId="77777777" w:rsidR="00317F2B" w:rsidRPr="004B19BF" w:rsidRDefault="00317F2B" w:rsidP="00FF0EA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81B892" w14:textId="77777777" w:rsidR="00317F2B" w:rsidRPr="004B19BF" w:rsidRDefault="00317F2B" w:rsidP="00FF0EA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39927309" w14:textId="77777777" w:rsidR="00317F2B" w:rsidRPr="004B19BF" w:rsidRDefault="00317F2B" w:rsidP="00FF0EA6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317F2B" w:rsidRPr="004B19BF" w14:paraId="1A6CE5BF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533101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8BBBD2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7DB13390" w14:textId="6B986415" w:rsidR="00317F2B" w:rsidRPr="004B19BF" w:rsidRDefault="00F84BDD" w:rsidP="00FF0EA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="00317F2B"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="00317F2B" w:rsidRPr="004B19BF">
              <w:rPr>
                <w:rFonts w:cs="Arial"/>
                <w:sz w:val="18"/>
                <w:szCs w:val="18"/>
              </w:rPr>
              <w:t>regolamentazione (</w:t>
            </w:r>
            <w:r w:rsidR="00317F2B"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12141812" w14:textId="1F01DBCD" w:rsidR="00317F2B" w:rsidRPr="004B19BF" w:rsidRDefault="00F84BDD" w:rsidP="00FF0EA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317F2B"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="00317F2B" w:rsidRPr="004B19BF">
              <w:rPr>
                <w:rFonts w:cs="Arial"/>
                <w:sz w:val="18"/>
                <w:szCs w:val="18"/>
              </w:rPr>
              <w:t>incentivazione (</w:t>
            </w:r>
            <w:r w:rsidR="00317F2B"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27EC2EA7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2AC6746B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317F2B" w:rsidRPr="004B19BF" w14:paraId="6E57D8EC" w14:textId="77777777" w:rsidTr="00FF0EA6">
        <w:trPr>
          <w:cantSplit/>
          <w:trHeight w:val="284"/>
        </w:trPr>
        <w:tc>
          <w:tcPr>
            <w:tcW w:w="249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5EB67EB1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72FE2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64B3EF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317F2B" w:rsidRPr="009A4E6A" w14:paraId="11CE61F0" w14:textId="77777777" w:rsidTr="00FF0EA6">
        <w:trPr>
          <w:cantSplit/>
          <w:trHeight w:val="284"/>
        </w:trPr>
        <w:tc>
          <w:tcPr>
            <w:tcW w:w="249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29D4BD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32C01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734FEE" w14:textId="35BE8F25" w:rsidR="00317F2B" w:rsidRPr="009A4E6A" w:rsidRDefault="00317F2B" w:rsidP="00FF0EA6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</w:pPr>
            <w:r w:rsidRPr="009A4E6A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>Cerambyx cerdo, Barbastella barbastellus, Lucanus cervus, Pernis apivorus, Rhinolophus ferrumequinum, Rhinolophus hipposideros</w:t>
            </w:r>
          </w:p>
        </w:tc>
      </w:tr>
      <w:tr w:rsidR="00317F2B" w:rsidRPr="004B19BF" w14:paraId="4F7DBB7A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58FED0F" w14:textId="77777777" w:rsidR="00317F2B" w:rsidRPr="00B61302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61302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862D1E" w14:textId="5B9571CB" w:rsidR="00317F2B" w:rsidRPr="00B61302" w:rsidRDefault="00317F2B" w:rsidP="00FF0EA6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B61302">
              <w:rPr>
                <w:rFonts w:cs="Arial"/>
                <w:noProof/>
                <w:sz w:val="18"/>
                <w:szCs w:val="18"/>
                <w14:ligatures w14:val="standardContextual"/>
              </w:rPr>
              <w:t>PB07, PB08</w:t>
            </w:r>
          </w:p>
        </w:tc>
      </w:tr>
      <w:tr w:rsidR="00317F2B" w:rsidRPr="004B19BF" w14:paraId="0C4B808C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58E2099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88548ED" w14:textId="3C6DD3E7" w:rsidR="00317F2B" w:rsidRPr="004B19BF" w:rsidRDefault="00317F2B" w:rsidP="00FF0EA6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317F2B">
              <w:rPr>
                <w:rFonts w:cs="Arial"/>
                <w:sz w:val="18"/>
                <w:szCs w:val="18"/>
              </w:rPr>
              <w:t>Superfici forestali individuate dalla Cartografia della vegetazione (formazioni boschive)</w:t>
            </w:r>
          </w:p>
        </w:tc>
      </w:tr>
      <w:tr w:rsidR="00317F2B" w:rsidRPr="004B19BF" w14:paraId="4BA3CAB0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78F232C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FCFC4B" w14:textId="1B1569D5" w:rsidR="00317F2B" w:rsidRPr="00317F2B" w:rsidRDefault="00317F2B" w:rsidP="00317F2B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317F2B">
              <w:rPr>
                <w:rFonts w:cs="Arial"/>
                <w:sz w:val="18"/>
                <w:szCs w:val="18"/>
              </w:rPr>
              <w:t>Sebbene l’attuale utilizzo delle cenosi forestali non appaia significativo</w:t>
            </w:r>
            <w:r w:rsidR="006859BD">
              <w:rPr>
                <w:rFonts w:cs="Arial"/>
                <w:sz w:val="18"/>
                <w:szCs w:val="18"/>
              </w:rPr>
              <w:t xml:space="preserve"> e il Piano di Gestione Naturalistica prevede che i boschi naturali debbano essere lasciati alla libera evoluzione</w:t>
            </w:r>
            <w:r w:rsidRPr="00317F2B">
              <w:rPr>
                <w:rFonts w:cs="Arial"/>
                <w:sz w:val="18"/>
                <w:szCs w:val="18"/>
              </w:rPr>
              <w:t xml:space="preserve">, la gestione forestale pregressa ha determinato una riduzione della loro qualità strutturale, in particolare rispetto alla presenza di alberi di grandi dimensioni e di </w:t>
            </w:r>
            <w:proofErr w:type="spellStart"/>
            <w:r w:rsidRPr="00317F2B">
              <w:rPr>
                <w:rFonts w:cs="Arial"/>
                <w:sz w:val="18"/>
                <w:szCs w:val="18"/>
              </w:rPr>
              <w:t>necromassa</w:t>
            </w:r>
            <w:proofErr w:type="spellEnd"/>
            <w:r w:rsidRPr="00317F2B">
              <w:rPr>
                <w:rFonts w:cs="Arial"/>
                <w:sz w:val="18"/>
                <w:szCs w:val="18"/>
              </w:rPr>
              <w:t>.</w:t>
            </w:r>
          </w:p>
          <w:p w14:paraId="59451E2F" w14:textId="3467AB41" w:rsidR="00317F2B" w:rsidRPr="004B19BF" w:rsidRDefault="00317F2B" w:rsidP="00317F2B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317F2B">
              <w:rPr>
                <w:rFonts w:cs="Arial"/>
                <w:sz w:val="18"/>
                <w:szCs w:val="18"/>
              </w:rPr>
              <w:t>Alcuni dei target individuati, rilascio di alberi maturi e rilascio di legno morto, sono già stati in precedenza trasferiti nella gestione degli habitat nei siti Natura 2000 in oggetto.</w:t>
            </w:r>
          </w:p>
        </w:tc>
      </w:tr>
      <w:tr w:rsidR="00317F2B" w:rsidRPr="004B19BF" w14:paraId="73E0118F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5A3A511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0062ED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Grado di conservazione d</w:t>
            </w:r>
            <w:r>
              <w:rPr>
                <w:rFonts w:cs="Arial"/>
                <w:sz w:val="18"/>
                <w:szCs w:val="18"/>
              </w:rPr>
              <w:t>elle specie</w:t>
            </w:r>
            <w:r w:rsidRPr="004B19BF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317F2B" w:rsidRPr="004B19BF" w14:paraId="1603B8B6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60E97A0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DBDEEB" w14:textId="60655590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17F2B">
              <w:rPr>
                <w:rFonts w:cs="Arial"/>
                <w:sz w:val="18"/>
                <w:szCs w:val="18"/>
              </w:rPr>
              <w:t>Raggiungere i target per gli attributi definiti dal MASE per gli Habitat forestali che sono idonei anche alla conservazione delle specie target</w:t>
            </w:r>
            <w:r w:rsidR="001116CB">
              <w:rPr>
                <w:rFonts w:cs="Arial"/>
                <w:sz w:val="18"/>
                <w:szCs w:val="18"/>
              </w:rPr>
              <w:t>, attraverso l’i</w:t>
            </w:r>
            <w:r w:rsidR="001116CB" w:rsidRPr="00317F2B">
              <w:rPr>
                <w:rFonts w:cs="Arial"/>
                <w:sz w:val="18"/>
                <w:szCs w:val="18"/>
              </w:rPr>
              <w:t xml:space="preserve">ncremento della disponibilità di "alberi habitat" nonché di </w:t>
            </w:r>
            <w:proofErr w:type="spellStart"/>
            <w:r w:rsidR="001116CB" w:rsidRPr="00317F2B">
              <w:rPr>
                <w:rFonts w:cs="Arial"/>
                <w:sz w:val="18"/>
                <w:szCs w:val="18"/>
              </w:rPr>
              <w:t>necromassa</w:t>
            </w:r>
            <w:proofErr w:type="spellEnd"/>
            <w:r w:rsidR="001116CB" w:rsidRPr="00317F2B">
              <w:rPr>
                <w:rFonts w:cs="Arial"/>
                <w:sz w:val="18"/>
                <w:szCs w:val="18"/>
              </w:rPr>
              <w:t xml:space="preserve"> </w:t>
            </w:r>
            <w:r w:rsidR="001116CB">
              <w:rPr>
                <w:rFonts w:cs="Arial"/>
                <w:sz w:val="18"/>
                <w:szCs w:val="18"/>
              </w:rPr>
              <w:t>per</w:t>
            </w:r>
            <w:r w:rsidR="001116CB" w:rsidRPr="00317F2B">
              <w:rPr>
                <w:rFonts w:cs="Arial"/>
                <w:sz w:val="18"/>
                <w:szCs w:val="18"/>
              </w:rPr>
              <w:t xml:space="preserve"> sviluppo della fauna </w:t>
            </w:r>
            <w:proofErr w:type="spellStart"/>
            <w:r w:rsidR="001116CB" w:rsidRPr="00317F2B">
              <w:rPr>
                <w:rFonts w:cs="Arial"/>
                <w:sz w:val="18"/>
                <w:szCs w:val="18"/>
              </w:rPr>
              <w:t>saproxilica</w:t>
            </w:r>
            <w:proofErr w:type="spellEnd"/>
            <w:r w:rsidR="001116CB" w:rsidRPr="00317F2B">
              <w:rPr>
                <w:rFonts w:cs="Arial"/>
                <w:sz w:val="18"/>
                <w:szCs w:val="18"/>
              </w:rPr>
              <w:t xml:space="preserve"> e della chirotterofauna</w:t>
            </w:r>
            <w:r w:rsidR="001116CB">
              <w:rPr>
                <w:rFonts w:cs="Arial"/>
                <w:sz w:val="18"/>
                <w:szCs w:val="18"/>
              </w:rPr>
              <w:t>.</w:t>
            </w:r>
          </w:p>
        </w:tc>
      </w:tr>
      <w:tr w:rsidR="00317F2B" w:rsidRPr="004B19BF" w14:paraId="5A47CB30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D1E1B4" w14:textId="77777777" w:rsidR="00317F2B" w:rsidRPr="004B19BF" w:rsidRDefault="00317F2B" w:rsidP="00FF0EA6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BAF7B" w14:textId="5CBDC3B8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317F2B">
              <w:rPr>
                <w:rFonts w:cs="Arial"/>
                <w:sz w:val="18"/>
                <w:szCs w:val="18"/>
              </w:rPr>
              <w:t>All'interno delle comunità forestali</w:t>
            </w:r>
            <w:r w:rsidR="006859BD">
              <w:rPr>
                <w:rFonts w:cs="Arial"/>
                <w:sz w:val="18"/>
                <w:szCs w:val="18"/>
              </w:rPr>
              <w:t xml:space="preserve"> artificiali (rimboschimenti)</w:t>
            </w:r>
            <w:r w:rsidRPr="00317F2B">
              <w:rPr>
                <w:rFonts w:cs="Arial"/>
                <w:sz w:val="18"/>
                <w:szCs w:val="18"/>
              </w:rPr>
              <w:t xml:space="preserve">, </w:t>
            </w:r>
            <w:r w:rsidR="00E51999">
              <w:rPr>
                <w:rFonts w:cs="Arial"/>
                <w:sz w:val="18"/>
                <w:szCs w:val="18"/>
              </w:rPr>
              <w:t xml:space="preserve">uniche formazioni vegetali in cui sono ammessi interventi selvicolturali volti alla rinaturalizzazione e prevenzione incendi, è comunque obbligatorio </w:t>
            </w:r>
            <w:r w:rsidRPr="00317F2B">
              <w:rPr>
                <w:rFonts w:cs="Arial"/>
                <w:sz w:val="18"/>
                <w:szCs w:val="18"/>
              </w:rPr>
              <w:t xml:space="preserve">incrementare la disponibilità di "alberi habitat" nonché di </w:t>
            </w:r>
            <w:proofErr w:type="spellStart"/>
            <w:r w:rsidRPr="00317F2B">
              <w:rPr>
                <w:rFonts w:cs="Arial"/>
                <w:sz w:val="18"/>
                <w:szCs w:val="18"/>
              </w:rPr>
              <w:t>necromassa</w:t>
            </w:r>
            <w:proofErr w:type="spellEnd"/>
            <w:r w:rsidRPr="00317F2B">
              <w:rPr>
                <w:rFonts w:cs="Arial"/>
                <w:sz w:val="18"/>
                <w:szCs w:val="18"/>
              </w:rPr>
              <w:t xml:space="preserve"> legnosa, attraverso il rilascio di piante morte sia in piedi che a terra e piante annose con presenza di cavitazioni in numero pari a </w:t>
            </w:r>
            <w:proofErr w:type="gramStart"/>
            <w:r w:rsidR="001116CB">
              <w:rPr>
                <w:rFonts w:cs="Arial"/>
                <w:sz w:val="18"/>
                <w:szCs w:val="18"/>
              </w:rPr>
              <w:t>10</w:t>
            </w:r>
            <w:proofErr w:type="gramEnd"/>
            <w:r w:rsidRPr="00317F2B">
              <w:rPr>
                <w:rFonts w:cs="Arial"/>
                <w:sz w:val="18"/>
                <w:szCs w:val="18"/>
              </w:rPr>
              <w:t xml:space="preserve"> piante/</w:t>
            </w:r>
            <w:r w:rsidR="001116CB">
              <w:rPr>
                <w:rFonts w:cs="Arial"/>
                <w:sz w:val="18"/>
                <w:szCs w:val="18"/>
              </w:rPr>
              <w:t>ha</w:t>
            </w:r>
            <w:r w:rsidRPr="00317F2B">
              <w:rPr>
                <w:rFonts w:cs="Arial"/>
                <w:sz w:val="18"/>
                <w:szCs w:val="18"/>
              </w:rPr>
              <w:t>, se presenti.</w:t>
            </w:r>
          </w:p>
        </w:tc>
      </w:tr>
      <w:tr w:rsidR="00317F2B" w:rsidRPr="004B19BF" w14:paraId="258AE904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4AD18C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5AAEC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 xml:space="preserve">Miglioramento/mantenimento del grado di conservazione </w:t>
            </w:r>
            <w:r>
              <w:rPr>
                <w:rFonts w:cs="Arial"/>
                <w:sz w:val="18"/>
                <w:szCs w:val="18"/>
              </w:rPr>
              <w:t xml:space="preserve">dell’habitat biologico e delle popolazioni </w:t>
            </w:r>
            <w:r w:rsidRPr="004B19BF">
              <w:rPr>
                <w:rFonts w:cs="Arial"/>
                <w:sz w:val="18"/>
                <w:szCs w:val="18"/>
              </w:rPr>
              <w:t>dell</w:t>
            </w:r>
            <w:r>
              <w:rPr>
                <w:rFonts w:cs="Arial"/>
                <w:sz w:val="18"/>
                <w:szCs w:val="18"/>
              </w:rPr>
              <w:t>e specie</w:t>
            </w:r>
            <w:r w:rsidRPr="004B19BF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317F2B" w:rsidRPr="004B19BF" w14:paraId="6426B6A8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1A0AA7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179E74" w14:textId="7F29B684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317F2B" w:rsidRPr="004B19BF" w14:paraId="4DA1F577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3A4829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2EF33C6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>Ente gestore –</w:t>
            </w:r>
            <w:r>
              <w:rPr>
                <w:rFonts w:cs="Arial"/>
                <w:sz w:val="18"/>
                <w:szCs w:val="18"/>
              </w:rPr>
              <w:t xml:space="preserve"> Proprietari conduttori dei fondi</w:t>
            </w:r>
          </w:p>
        </w:tc>
      </w:tr>
      <w:tr w:rsidR="00317F2B" w:rsidRPr="004B19BF" w14:paraId="34FAF463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952BB75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EE608D" w14:textId="39F52DFE" w:rsidR="00317F2B" w:rsidRPr="004B19BF" w:rsidRDefault="00E51999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317F2B" w:rsidRPr="004B19BF" w14:paraId="0329E774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7E5AC6" w14:textId="77777777" w:rsidR="00317F2B" w:rsidRPr="00B159F9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159F9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6D2B7A" w14:textId="25144AF8" w:rsidR="00317F2B" w:rsidRPr="00B61302" w:rsidRDefault="005B3F9E" w:rsidP="00FF0EA6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Dall’entrata in vigore del Piano</w:t>
            </w:r>
          </w:p>
        </w:tc>
      </w:tr>
      <w:tr w:rsidR="00317F2B" w:rsidRPr="004B19BF" w14:paraId="17920BE0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9A0F1A1" w14:textId="77777777" w:rsidR="00317F2B" w:rsidRPr="00B159F9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159F9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6298F0" w14:textId="168CD6BA" w:rsidR="00317F2B" w:rsidRPr="00045D2E" w:rsidRDefault="005B3F9E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="00B61302" w:rsidRPr="00B61302">
              <w:rPr>
                <w:rFonts w:cs="Arial"/>
                <w:sz w:val="18"/>
                <w:szCs w:val="18"/>
              </w:rPr>
              <w:t xml:space="preserve">ilascio di 10 alberi cavi e morti/ha per lo sviluppo della fauna </w:t>
            </w:r>
            <w:proofErr w:type="spellStart"/>
            <w:r w:rsidR="00B61302" w:rsidRPr="00B61302">
              <w:rPr>
                <w:rFonts w:cs="Arial"/>
                <w:sz w:val="18"/>
                <w:szCs w:val="18"/>
              </w:rPr>
              <w:t>saproxilica</w:t>
            </w:r>
            <w:proofErr w:type="spellEnd"/>
            <w:r w:rsidR="00B61302" w:rsidRPr="00B61302">
              <w:rPr>
                <w:rFonts w:cs="Arial"/>
                <w:sz w:val="18"/>
                <w:szCs w:val="18"/>
              </w:rPr>
              <w:t xml:space="preserve"> e della chirotterofauna (priorità n. 5 PAF), FEASR</w:t>
            </w:r>
          </w:p>
        </w:tc>
      </w:tr>
      <w:tr w:rsidR="00317F2B" w:rsidRPr="004B19BF" w14:paraId="252DC872" w14:textId="77777777" w:rsidTr="00FF0EA6">
        <w:trPr>
          <w:cantSplit/>
          <w:trHeight w:val="284"/>
        </w:trPr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DE5E4D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D48637" w14:textId="77777777" w:rsidR="00317F2B" w:rsidRPr="004B19BF" w:rsidRDefault="00317F2B" w:rsidP="00FF0EA6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3948789B" w14:textId="77777777" w:rsidR="006144AB" w:rsidRDefault="006144AB"/>
    <w:sectPr w:rsidR="006144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2B"/>
    <w:rsid w:val="00015A8F"/>
    <w:rsid w:val="00045D2E"/>
    <w:rsid w:val="0011014A"/>
    <w:rsid w:val="001116CB"/>
    <w:rsid w:val="002F29CF"/>
    <w:rsid w:val="00317F2B"/>
    <w:rsid w:val="005130D2"/>
    <w:rsid w:val="005B3F9E"/>
    <w:rsid w:val="006144AB"/>
    <w:rsid w:val="006859BD"/>
    <w:rsid w:val="00991D26"/>
    <w:rsid w:val="009A4E6A"/>
    <w:rsid w:val="00B159F9"/>
    <w:rsid w:val="00B61302"/>
    <w:rsid w:val="00E51999"/>
    <w:rsid w:val="00F8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DE5B"/>
  <w15:chartTrackingRefBased/>
  <w15:docId w15:val="{56FA9B42-FD77-4E34-880B-17C1D1D3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7F2B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317F2B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17F2B"/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6859BD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E519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51999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51999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519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51999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Maneli</dc:creator>
  <cp:keywords/>
  <dc:description/>
  <cp:lastModifiedBy>silvia carletti</cp:lastModifiedBy>
  <cp:revision>15</cp:revision>
  <dcterms:created xsi:type="dcterms:W3CDTF">2024-03-27T08:47:00Z</dcterms:created>
  <dcterms:modified xsi:type="dcterms:W3CDTF">2024-08-27T11:34:00Z</dcterms:modified>
</cp:coreProperties>
</file>