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3" w:type="dxa"/>
        <w:tblInd w:w="-3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27"/>
        <w:gridCol w:w="2606"/>
        <w:gridCol w:w="1083"/>
        <w:gridCol w:w="1266"/>
        <w:gridCol w:w="2421"/>
      </w:tblGrid>
      <w:tr w:rsidR="005C6528" w:rsidRPr="005822AC" w14:paraId="73D0809B" w14:textId="77777777" w:rsidTr="003921EE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00B0F0"/>
            <w:vAlign w:val="center"/>
          </w:tcPr>
          <w:p w14:paraId="6E4DE79E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Scheda</w:t>
            </w:r>
          </w:p>
          <w:p w14:paraId="3DBB7B14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C6D90A5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Codice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7252F6BC" w14:textId="40857D38" w:rsidR="005C6528" w:rsidRPr="005822AC" w:rsidRDefault="005C6528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C6528" w:rsidRPr="005822AC" w14:paraId="2BF28E96" w14:textId="77777777" w:rsidTr="003921EE">
        <w:trPr>
          <w:cantSplit/>
          <w:trHeight w:val="284"/>
        </w:trPr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00B0F0"/>
            <w:vAlign w:val="center"/>
          </w:tcPr>
          <w:p w14:paraId="20E2B352" w14:textId="77777777" w:rsidR="005C6528" w:rsidRPr="005822AC" w:rsidRDefault="005C6528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0611C1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Nome del ZSC/ZPS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D4EF" w:themeFill="text2" w:themeFillTint="33"/>
            <w:vAlign w:val="center"/>
          </w:tcPr>
          <w:p w14:paraId="67E3DF18" w14:textId="5C21A1C9" w:rsidR="005C6528" w:rsidRPr="005822AC" w:rsidRDefault="005C6528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C6528" w:rsidRPr="005822AC" w14:paraId="15CBCEB1" w14:textId="77777777" w:rsidTr="003921EE">
        <w:trPr>
          <w:cantSplit/>
          <w:trHeight w:val="284"/>
        </w:trPr>
        <w:tc>
          <w:tcPr>
            <w:tcW w:w="2127" w:type="dxa"/>
            <w:vMerge w:val="restart"/>
            <w:tcBorders>
              <w:left w:val="single" w:sz="6" w:space="0" w:color="000000"/>
            </w:tcBorders>
            <w:shd w:val="clear" w:color="auto" w:fill="00B0F0"/>
            <w:vAlign w:val="center"/>
          </w:tcPr>
          <w:p w14:paraId="1354D56E" w14:textId="77777777" w:rsidR="005C6528" w:rsidRPr="005822AC" w:rsidRDefault="005C6528" w:rsidP="005C6528">
            <w:pPr>
              <w:pStyle w:val="Paragrafoelenco"/>
              <w:widowControl w:val="0"/>
              <w:suppressAutoHyphens/>
              <w:snapToGrid w:val="0"/>
              <w:spacing w:after="0" w:line="240" w:lineRule="auto"/>
              <w:ind w:left="0" w:firstLine="0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8C94A2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47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2EE31F" w14:textId="348A6096" w:rsidR="005C6528" w:rsidRPr="005822AC" w:rsidRDefault="005C6528" w:rsidP="005C6528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5C6528">
              <w:rPr>
                <w:rFonts w:cs="Arial"/>
                <w:b/>
                <w:sz w:val="18"/>
                <w:szCs w:val="18"/>
              </w:rPr>
              <w:t>Promozione degli obiettivi di conservazione del sito e campagna di comunicazione per una corretta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5C6528">
              <w:rPr>
                <w:rFonts w:cs="Arial"/>
                <w:b/>
                <w:sz w:val="18"/>
                <w:szCs w:val="18"/>
              </w:rPr>
              <w:t>fruizione del Parco</w:t>
            </w:r>
          </w:p>
        </w:tc>
      </w:tr>
      <w:tr w:rsidR="005C6528" w:rsidRPr="005822AC" w14:paraId="612330FD" w14:textId="77777777" w:rsidTr="003921EE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</w:tcBorders>
            <w:shd w:val="clear" w:color="auto" w:fill="00B0F0"/>
            <w:vAlign w:val="center"/>
          </w:tcPr>
          <w:p w14:paraId="46C51924" w14:textId="77777777" w:rsidR="005C6528" w:rsidRPr="005822AC" w:rsidRDefault="005C6528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6266CD" w14:textId="77777777" w:rsidR="005C6528" w:rsidRPr="005822AC" w:rsidRDefault="005C6528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640E8F73" w14:textId="77777777" w:rsidR="005C6528" w:rsidRPr="005822AC" w:rsidRDefault="005C6528" w:rsidP="003921EE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A22BD6" w14:textId="77777777" w:rsidR="005C6528" w:rsidRPr="005822AC" w:rsidRDefault="005C6528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71786A49" w14:textId="77777777" w:rsidR="005C6528" w:rsidRPr="005822AC" w:rsidRDefault="005C6528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2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3925F8B" w14:textId="77777777" w:rsidR="005C6528" w:rsidRPr="005822AC" w:rsidRDefault="005C6528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11681610" w14:textId="77777777" w:rsidR="005C6528" w:rsidRPr="005822AC" w:rsidRDefault="005C6528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5C6528" w:rsidRPr="005822AC" w14:paraId="37047CF9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1B3733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1587A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intervento attivo (</w:t>
            </w:r>
            <w:r w:rsidRPr="005822AC">
              <w:rPr>
                <w:rFonts w:cs="Arial"/>
                <w:b/>
                <w:sz w:val="18"/>
                <w:szCs w:val="18"/>
              </w:rPr>
              <w:t>IA)</w:t>
            </w:r>
          </w:p>
          <w:p w14:paraId="3B4BF598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regolamentazione (</w:t>
            </w:r>
            <w:r w:rsidRPr="005822AC">
              <w:rPr>
                <w:rFonts w:cs="Arial"/>
                <w:b/>
                <w:sz w:val="18"/>
                <w:szCs w:val="18"/>
              </w:rPr>
              <w:t>RE)</w:t>
            </w:r>
          </w:p>
          <w:p w14:paraId="6C19A7AD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incentivazione (</w:t>
            </w:r>
            <w:r w:rsidRPr="005822AC">
              <w:rPr>
                <w:rFonts w:cs="Arial"/>
                <w:b/>
                <w:sz w:val="18"/>
                <w:szCs w:val="18"/>
              </w:rPr>
              <w:t>IN)</w:t>
            </w:r>
          </w:p>
          <w:p w14:paraId="2F42816C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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monitoraggio e/o ricerca (</w:t>
            </w:r>
            <w:r w:rsidRPr="005822AC">
              <w:rPr>
                <w:rFonts w:cs="Arial"/>
                <w:b/>
                <w:sz w:val="18"/>
                <w:szCs w:val="18"/>
              </w:rPr>
              <w:t>MR)</w:t>
            </w:r>
          </w:p>
          <w:p w14:paraId="256BE387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X</w:t>
            </w:r>
            <w:r w:rsidRPr="005822AC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programma di educazione e di informazione (</w:t>
            </w:r>
            <w:r w:rsidRPr="005822AC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5C6528" w:rsidRPr="005822AC" w14:paraId="558B05D9" w14:textId="77777777" w:rsidTr="003921EE">
        <w:trPr>
          <w:cantSplit/>
          <w:trHeight w:val="284"/>
        </w:trPr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14:paraId="423B2882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Target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8DEB13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Habita</w:t>
            </w:r>
            <w:r>
              <w:rPr>
                <w:rFonts w:eastAsia="Wingdings" w:cs="Arial"/>
                <w:b/>
                <w:bCs/>
                <w:sz w:val="18"/>
                <w:szCs w:val="18"/>
              </w:rPr>
              <w:t>t</w:t>
            </w:r>
          </w:p>
        </w:tc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802EAA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eastAsia="Wingdings" w:cs="Arial"/>
                <w:b/>
                <w:bCs/>
                <w:sz w:val="18"/>
                <w:szCs w:val="18"/>
              </w:rPr>
            </w:pPr>
            <w:r w:rsidRPr="005822AC">
              <w:rPr>
                <w:rFonts w:eastAsia="Wingdings" w:cs="Arial"/>
                <w:b/>
                <w:bCs/>
                <w:sz w:val="18"/>
                <w:szCs w:val="18"/>
              </w:rPr>
              <w:t>Specie</w:t>
            </w:r>
          </w:p>
        </w:tc>
      </w:tr>
      <w:tr w:rsidR="005C6528" w:rsidRPr="005822AC" w14:paraId="11974974" w14:textId="77777777" w:rsidTr="003921EE">
        <w:trPr>
          <w:cantSplit/>
          <w:trHeight w:val="284"/>
        </w:trPr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6C4AB8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7B5C78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5822AC">
              <w:rPr>
                <w:rFonts w:eastAsia="Wingdings" w:cs="Arial"/>
                <w:sz w:val="18"/>
                <w:szCs w:val="18"/>
              </w:rPr>
              <w:t>Misura trasversale</w:t>
            </w:r>
          </w:p>
        </w:tc>
      </w:tr>
      <w:tr w:rsidR="005C6528" w:rsidRPr="005822AC" w14:paraId="5CA2C076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73E9A328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Pressioni/Minacce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252253" w14:textId="24A251CD" w:rsidR="005C6528" w:rsidRPr="005822AC" w:rsidRDefault="005C6528" w:rsidP="005C6528">
            <w:pPr>
              <w:spacing w:after="0" w:line="240" w:lineRule="auto"/>
              <w:ind w:firstLine="0"/>
              <w:jc w:val="left"/>
              <w:rPr>
                <w:rFonts w:cs="Arial"/>
                <w:noProof/>
                <w:sz w:val="18"/>
                <w:szCs w:val="18"/>
                <w14:ligatures w14:val="standardContextual"/>
              </w:rPr>
            </w:pPr>
          </w:p>
        </w:tc>
      </w:tr>
      <w:tr w:rsidR="005C6528" w:rsidRPr="005822AC" w14:paraId="2D19EC9D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14:paraId="6ABE67CD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5A103C2" w14:textId="77777777" w:rsidR="005C6528" w:rsidRPr="005822AC" w:rsidRDefault="005C6528" w:rsidP="005C6528">
            <w:pPr>
              <w:spacing w:after="0" w:line="240" w:lineRule="auto"/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noProof/>
                <w:sz w:val="18"/>
                <w:szCs w:val="18"/>
                <w14:ligatures w14:val="standardContextual"/>
              </w:rPr>
              <w:t>Tutto il sito</w:t>
            </w:r>
          </w:p>
        </w:tc>
      </w:tr>
      <w:tr w:rsidR="005C6528" w:rsidRPr="005822AC" w14:paraId="2AB6A6BF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6971348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70FC765" w14:textId="33D575F7" w:rsidR="005C6528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La conoscenza dei valori ambientali del sito, delle attività dell’ente gestore per la loro tutela e delle pressioni/minacce che gravano </w:t>
            </w:r>
            <w:r w:rsidR="008F401B">
              <w:rPr>
                <w:rFonts w:cs="Arial"/>
                <w:sz w:val="18"/>
                <w:szCs w:val="18"/>
              </w:rPr>
              <w:t xml:space="preserve">su habitat e specie, </w:t>
            </w:r>
            <w:r w:rsidRPr="005822AC">
              <w:rPr>
                <w:rFonts w:cs="Arial"/>
                <w:sz w:val="18"/>
                <w:szCs w:val="18"/>
              </w:rPr>
              <w:t>è un elemento essenziale per il raggiungimento degli obietti</w:t>
            </w:r>
            <w:r>
              <w:rPr>
                <w:rFonts w:cs="Arial"/>
                <w:sz w:val="18"/>
                <w:szCs w:val="18"/>
              </w:rPr>
              <w:t>vi</w:t>
            </w:r>
            <w:r w:rsidRPr="005822AC">
              <w:rPr>
                <w:rFonts w:cs="Arial"/>
                <w:sz w:val="18"/>
                <w:szCs w:val="18"/>
              </w:rPr>
              <w:t xml:space="preserve"> della rete Natura 2000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7CCB9F99" w14:textId="76FD6E9E" w:rsidR="00015430" w:rsidRPr="005822AC" w:rsidRDefault="00015430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Relativamente alla fruizione dei luoghi e alle attività sportive outdoor il Piano e</w:t>
            </w:r>
            <w:r w:rsidR="008F401B">
              <w:rPr>
                <w:rFonts w:cs="Arial"/>
                <w:sz w:val="18"/>
                <w:szCs w:val="18"/>
              </w:rPr>
              <w:t>d il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BD186E">
              <w:rPr>
                <w:rFonts w:cs="Arial"/>
                <w:sz w:val="18"/>
                <w:szCs w:val="18"/>
              </w:rPr>
              <w:t xml:space="preserve">Regolamento </w:t>
            </w:r>
            <w:r w:rsidR="008F401B">
              <w:rPr>
                <w:rFonts w:cs="Arial"/>
                <w:sz w:val="18"/>
                <w:szCs w:val="18"/>
              </w:rPr>
              <w:t xml:space="preserve">del </w:t>
            </w:r>
            <w:r w:rsidRPr="00BD186E">
              <w:rPr>
                <w:rFonts w:cs="Arial"/>
                <w:sz w:val="18"/>
                <w:szCs w:val="18"/>
              </w:rPr>
              <w:t>Parco del Conero</w:t>
            </w:r>
            <w:r>
              <w:rPr>
                <w:rFonts w:cs="Arial"/>
                <w:sz w:val="18"/>
                <w:szCs w:val="18"/>
              </w:rPr>
              <w:t xml:space="preserve"> normano nel dettaglio le attività e modalità consentite ma spesso la scarsa conoscenza delle problematiche di conservazione della biodiversità connesse con la fruizione dei luoghi naturali determina </w:t>
            </w:r>
            <w:r w:rsidR="00D75F55">
              <w:rPr>
                <w:rFonts w:cs="Arial"/>
                <w:sz w:val="18"/>
                <w:szCs w:val="18"/>
              </w:rPr>
              <w:t xml:space="preserve">poca </w:t>
            </w:r>
            <w:r>
              <w:rPr>
                <w:rFonts w:cs="Arial"/>
                <w:sz w:val="18"/>
                <w:szCs w:val="18"/>
              </w:rPr>
              <w:t>attenzione nel</w:t>
            </w:r>
            <w:r w:rsidR="00D75F55">
              <w:rPr>
                <w:rFonts w:cs="Arial"/>
                <w:sz w:val="18"/>
                <w:szCs w:val="18"/>
              </w:rPr>
              <w:t xml:space="preserve"> rispetto delle regole durante lo svolgimento di tali attività (trekking, cavallo, bici, volo libero, arrampicata </w:t>
            </w:r>
            <w:proofErr w:type="spellStart"/>
            <w:r w:rsidR="00D75F55">
              <w:rPr>
                <w:rFonts w:cs="Arial"/>
                <w:sz w:val="18"/>
                <w:szCs w:val="18"/>
              </w:rPr>
              <w:t>etc</w:t>
            </w:r>
            <w:proofErr w:type="spellEnd"/>
            <w:r w:rsidR="00D75F55">
              <w:rPr>
                <w:rFonts w:cs="Arial"/>
                <w:sz w:val="18"/>
                <w:szCs w:val="18"/>
              </w:rPr>
              <w:t>)</w:t>
            </w:r>
          </w:p>
        </w:tc>
      </w:tr>
      <w:tr w:rsidR="005C6528" w:rsidRPr="005822AC" w14:paraId="3BDB263F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C27B219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E83236" w14:textId="1E266E09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Numero eventi </w:t>
            </w:r>
            <w:r w:rsidR="00015430">
              <w:rPr>
                <w:rFonts w:cs="Arial"/>
                <w:sz w:val="18"/>
                <w:szCs w:val="18"/>
              </w:rPr>
              <w:t xml:space="preserve">e prodotti di sensibilizzazione e divulgazione </w:t>
            </w:r>
            <w:r w:rsidRPr="005822AC">
              <w:rPr>
                <w:rFonts w:cs="Arial"/>
                <w:sz w:val="18"/>
                <w:szCs w:val="18"/>
              </w:rPr>
              <w:t>realizzati</w:t>
            </w:r>
            <w:r w:rsidR="0001543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5C6528" w:rsidRPr="005822AC" w14:paraId="27444A16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57168D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090CFE" w14:textId="637EBC19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Incrementare la consapevolezza </w:t>
            </w:r>
            <w:r w:rsidR="00015430">
              <w:rPr>
                <w:rFonts w:cs="Arial"/>
                <w:sz w:val="18"/>
                <w:szCs w:val="18"/>
              </w:rPr>
              <w:t xml:space="preserve">relativamente alle attività e le modalità di fruizione </w:t>
            </w:r>
            <w:r w:rsidR="0031709A">
              <w:rPr>
                <w:rFonts w:cs="Arial"/>
                <w:sz w:val="18"/>
                <w:szCs w:val="18"/>
              </w:rPr>
              <w:t xml:space="preserve">sostenibile </w:t>
            </w:r>
            <w:r w:rsidR="00015430">
              <w:rPr>
                <w:rFonts w:cs="Arial"/>
                <w:sz w:val="18"/>
                <w:szCs w:val="18"/>
              </w:rPr>
              <w:t xml:space="preserve">dei luoghi </w:t>
            </w:r>
            <w:r w:rsidRPr="005822AC">
              <w:rPr>
                <w:rFonts w:cs="Arial"/>
                <w:sz w:val="18"/>
                <w:szCs w:val="18"/>
              </w:rPr>
              <w:t>ed il coinvolgimento dei cittadini rispetto al tema della tutela della biodiversità della rete Natura 2000</w:t>
            </w:r>
            <w:r w:rsidR="00015430">
              <w:rPr>
                <w:rFonts w:cs="Arial"/>
                <w:sz w:val="18"/>
                <w:szCs w:val="18"/>
              </w:rPr>
              <w:t>.</w:t>
            </w:r>
          </w:p>
        </w:tc>
      </w:tr>
      <w:tr w:rsidR="005C6528" w:rsidRPr="005822AC" w14:paraId="6AD76473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DAF15B" w14:textId="77777777" w:rsidR="005C6528" w:rsidRPr="005822AC" w:rsidRDefault="005C6528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lastRenderedPageBreak/>
              <w:t>Descrizione dell’azione e programma operativo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4D88AF" w14:textId="77777777" w:rsidR="00015430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Verranno avviati specifici interventi di formazione, informazione e divulgazione rivolti a due diverse categorie di destinatari:</w:t>
            </w:r>
          </w:p>
          <w:p w14:paraId="6F15194F" w14:textId="77777777" w:rsidR="008F401B" w:rsidRPr="00015430" w:rsidRDefault="008F401B" w:rsidP="008F401B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015430">
              <w:rPr>
                <w:rFonts w:cs="Arial"/>
                <w:sz w:val="18"/>
                <w:szCs w:val="18"/>
              </w:rPr>
              <w:t>i fruitori occasionali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015430">
              <w:rPr>
                <w:rFonts w:cs="Arial"/>
                <w:sz w:val="18"/>
                <w:szCs w:val="18"/>
              </w:rPr>
              <w:t xml:space="preserve">tramite gli operatori della fruizione. </w:t>
            </w:r>
          </w:p>
          <w:p w14:paraId="0C89A5AD" w14:textId="77777777" w:rsidR="00015430" w:rsidRDefault="005C6528" w:rsidP="00015430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015430">
              <w:rPr>
                <w:rFonts w:cs="Arial"/>
                <w:sz w:val="18"/>
                <w:szCs w:val="18"/>
              </w:rPr>
              <w:t>la cittadinanza locale,</w:t>
            </w:r>
          </w:p>
          <w:p w14:paraId="10B3E4F0" w14:textId="0BA9A4CC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  <w:p w14:paraId="60627C30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A) Destinatari: Operatori della fruizione </w:t>
            </w:r>
          </w:p>
          <w:p w14:paraId="50F65679" w14:textId="77777777" w:rsidR="00D75F55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Interventi: </w:t>
            </w:r>
          </w:p>
          <w:p w14:paraId="0411A387" w14:textId="0D517482" w:rsidR="00D75F55" w:rsidRDefault="00D75F5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1. </w:t>
            </w:r>
            <w:r w:rsidR="005C6528" w:rsidRPr="005822AC">
              <w:rPr>
                <w:rFonts w:cs="Arial"/>
                <w:sz w:val="18"/>
                <w:szCs w:val="18"/>
              </w:rPr>
              <w:t>corsi di formazione e/o incontri informativi rivolti alle associazioni di promozione della fruizione del territorio</w:t>
            </w:r>
            <w:r>
              <w:rPr>
                <w:rFonts w:cs="Arial"/>
                <w:sz w:val="18"/>
                <w:szCs w:val="18"/>
              </w:rPr>
              <w:t xml:space="preserve"> e attività sportive all’aperto</w:t>
            </w:r>
            <w:r w:rsidR="005C6528" w:rsidRPr="005822AC">
              <w:rPr>
                <w:rFonts w:cs="Arial"/>
                <w:sz w:val="18"/>
                <w:szCs w:val="18"/>
              </w:rPr>
              <w:t>, realizzati dall’Ente gestore anche con il contributo delle associazioni ambientaliste, finalizzati a promuovere</w:t>
            </w:r>
            <w:r>
              <w:rPr>
                <w:rFonts w:cs="Arial"/>
                <w:sz w:val="18"/>
                <w:szCs w:val="18"/>
              </w:rPr>
              <w:t xml:space="preserve"> la conoscenza:</w:t>
            </w:r>
          </w:p>
          <w:p w14:paraId="29EBFDE2" w14:textId="5162B680" w:rsidR="00D75F55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- dei principali aspetti (habitat e specie da tutelare) e problematiche ambientali </w:t>
            </w:r>
            <w:r w:rsidR="008F401B" w:rsidRPr="005822AC">
              <w:rPr>
                <w:rFonts w:cs="Arial"/>
                <w:sz w:val="18"/>
                <w:szCs w:val="18"/>
              </w:rPr>
              <w:t>de</w:t>
            </w:r>
            <w:r w:rsidR="008F401B">
              <w:rPr>
                <w:rFonts w:cs="Arial"/>
                <w:sz w:val="18"/>
                <w:szCs w:val="18"/>
              </w:rPr>
              <w:t>i</w:t>
            </w:r>
            <w:r w:rsidR="008F401B" w:rsidRPr="005822AC">
              <w:rPr>
                <w:rFonts w:cs="Arial"/>
                <w:sz w:val="18"/>
                <w:szCs w:val="18"/>
              </w:rPr>
              <w:t xml:space="preserve"> sit</w:t>
            </w:r>
            <w:r w:rsidR="008F401B">
              <w:rPr>
                <w:rFonts w:cs="Arial"/>
                <w:sz w:val="18"/>
                <w:szCs w:val="18"/>
              </w:rPr>
              <w:t>i</w:t>
            </w:r>
            <w:r w:rsidR="008F401B" w:rsidRPr="005822AC">
              <w:rPr>
                <w:rFonts w:cs="Arial"/>
                <w:sz w:val="18"/>
                <w:szCs w:val="18"/>
              </w:rPr>
              <w:t xml:space="preserve"> </w:t>
            </w:r>
            <w:r w:rsidRPr="005822AC">
              <w:rPr>
                <w:rFonts w:cs="Arial"/>
                <w:sz w:val="18"/>
                <w:szCs w:val="18"/>
              </w:rPr>
              <w:t>N2000 legate alla fruizione</w:t>
            </w:r>
            <w:r w:rsidR="00D75F55">
              <w:rPr>
                <w:rFonts w:cs="Arial"/>
                <w:sz w:val="18"/>
                <w:szCs w:val="18"/>
              </w:rPr>
              <w:t>;</w:t>
            </w:r>
          </w:p>
          <w:p w14:paraId="250EF51D" w14:textId="68B40618" w:rsidR="00D75F55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- di strategie e norme di settore comunitarie, nazionali e regionali per la riduzione degli impatti</w:t>
            </w:r>
            <w:r w:rsidR="00D75F55">
              <w:rPr>
                <w:rFonts w:cs="Arial"/>
                <w:sz w:val="18"/>
                <w:szCs w:val="18"/>
              </w:rPr>
              <w:t>;</w:t>
            </w:r>
          </w:p>
          <w:p w14:paraId="7AB429C3" w14:textId="66CEF5D0" w:rsidR="00D75F55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- delle modalità di fruizione più consone alla conservazione degli habitat e delle specie</w:t>
            </w:r>
            <w:r w:rsidR="008F401B">
              <w:rPr>
                <w:rFonts w:cs="Arial"/>
                <w:sz w:val="18"/>
                <w:szCs w:val="18"/>
              </w:rPr>
              <w:t>;</w:t>
            </w:r>
          </w:p>
          <w:p w14:paraId="3D4335B3" w14:textId="79D045A9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- </w:t>
            </w:r>
            <w:r w:rsidR="008F401B">
              <w:rPr>
                <w:rFonts w:cs="Arial"/>
                <w:sz w:val="18"/>
                <w:szCs w:val="18"/>
              </w:rPr>
              <w:t xml:space="preserve">di </w:t>
            </w:r>
            <w:r w:rsidRPr="005822AC">
              <w:rPr>
                <w:rFonts w:cs="Arial"/>
                <w:sz w:val="18"/>
                <w:szCs w:val="18"/>
              </w:rPr>
              <w:t>esperienze virtuose fatte in altre regioni o in altri stati europei.</w:t>
            </w:r>
          </w:p>
          <w:p w14:paraId="566FDBF5" w14:textId="1B3464C1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Per il percorso formativo potrà essere prevista la produzione di adeguato materiale didattico/informativo e la produzione di report degli incontri</w:t>
            </w:r>
            <w:r w:rsidR="00D75F55">
              <w:rPr>
                <w:rFonts w:cs="Arial"/>
                <w:sz w:val="18"/>
                <w:szCs w:val="18"/>
              </w:rPr>
              <w:t>.</w:t>
            </w:r>
          </w:p>
          <w:p w14:paraId="4FD615D2" w14:textId="77777777" w:rsidR="008F401B" w:rsidRDefault="008F401B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  <w:p w14:paraId="31385A50" w14:textId="559BAA03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B) Destinatari: Cittadinanza </w:t>
            </w:r>
          </w:p>
          <w:p w14:paraId="59ED7079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Interventi:</w:t>
            </w:r>
          </w:p>
          <w:p w14:paraId="0500C1C1" w14:textId="5C2E9EDB" w:rsidR="005C6528" w:rsidRPr="00D75F55" w:rsidRDefault="00D75F55" w:rsidP="00D75F55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75F55">
              <w:rPr>
                <w:rFonts w:cs="Arial"/>
                <w:sz w:val="18"/>
                <w:szCs w:val="18"/>
              </w:rPr>
              <w:t>1.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5C6528" w:rsidRPr="00D75F55">
              <w:rPr>
                <w:rFonts w:cs="Arial"/>
                <w:sz w:val="18"/>
                <w:szCs w:val="18"/>
              </w:rPr>
              <w:t xml:space="preserve">incontri informativi, finalizzati ad informare i residenti sul </w:t>
            </w:r>
            <w:proofErr w:type="spellStart"/>
            <w:r w:rsidR="005C6528" w:rsidRPr="00D75F55">
              <w:rPr>
                <w:rFonts w:cs="Arial"/>
                <w:sz w:val="18"/>
                <w:szCs w:val="18"/>
              </w:rPr>
              <w:t>PdG</w:t>
            </w:r>
            <w:proofErr w:type="spellEnd"/>
            <w:r w:rsidR="005C6528" w:rsidRPr="00D75F55">
              <w:rPr>
                <w:rFonts w:cs="Arial"/>
                <w:sz w:val="18"/>
                <w:szCs w:val="18"/>
              </w:rPr>
              <w:t xml:space="preserve"> oltre che a promuovere la loro partecipazione ad eventi e manifestazioni con finalità ambientali e di promozione del territorio. Gli incontri saranno tenuti presso le sedi dell’Ente gestore, o nei locali più frequentemente utilizzati per incontri pubblici presso le località interessate dal </w:t>
            </w:r>
            <w:proofErr w:type="spellStart"/>
            <w:r w:rsidR="005C6528" w:rsidRPr="00D75F55">
              <w:rPr>
                <w:rFonts w:cs="Arial"/>
                <w:sz w:val="18"/>
                <w:szCs w:val="18"/>
              </w:rPr>
              <w:t>PdG</w:t>
            </w:r>
            <w:proofErr w:type="spellEnd"/>
            <w:r w:rsidR="005C6528" w:rsidRPr="00D75F55">
              <w:rPr>
                <w:rFonts w:cs="Arial"/>
                <w:sz w:val="18"/>
                <w:szCs w:val="18"/>
              </w:rPr>
              <w:t>. a cura dell’ente gestore eventualmente in collaborazione con associazioni di categoria ed altre associazioni locali.</w:t>
            </w:r>
          </w:p>
          <w:p w14:paraId="21FC3E03" w14:textId="2009567F" w:rsidR="005C6528" w:rsidRPr="005822AC" w:rsidRDefault="00D75F5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2. </w:t>
            </w:r>
            <w:r w:rsidR="005C6528" w:rsidRPr="005822AC">
              <w:rPr>
                <w:rFonts w:cs="Arial"/>
                <w:sz w:val="18"/>
                <w:szCs w:val="18"/>
              </w:rPr>
              <w:t>realizzazione di pubblicazioni e materiale informativo sia cartaceo sia digitale relativo al Sito N2000, alle emergenze naturalistiche e alla loro connessione con i luoghi e le tradizioni locali. Per la diffusione del materiale su supporto informatico particolare importanza rivestiranno i siti web dell’ente gestore e delle rappresentanze di categoria.</w:t>
            </w:r>
          </w:p>
          <w:p w14:paraId="64E3C1FE" w14:textId="77777777" w:rsidR="005C6528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  <w:p w14:paraId="7635086B" w14:textId="4C1B081F" w:rsidR="00D75F55" w:rsidRPr="005822AC" w:rsidRDefault="00D75F5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Per entrambe le categorie di destinatari:</w:t>
            </w:r>
          </w:p>
          <w:p w14:paraId="1096235D" w14:textId="44136B26" w:rsidR="005C6528" w:rsidRPr="005822AC" w:rsidRDefault="00D75F5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3. </w:t>
            </w:r>
            <w:r w:rsidR="005C6528" w:rsidRPr="005822AC">
              <w:rPr>
                <w:rFonts w:cs="Arial"/>
                <w:sz w:val="18"/>
                <w:szCs w:val="18"/>
              </w:rPr>
              <w:t>realizzazione di cartellonistica informativa da posizionare nei principali accessi al sito che metta a conoscenza dei fruitori le caratteristiche ecologiche del sito e i comportamenti da tenere</w:t>
            </w:r>
            <w:r>
              <w:rPr>
                <w:rFonts w:cs="Arial"/>
                <w:sz w:val="18"/>
                <w:szCs w:val="18"/>
              </w:rPr>
              <w:t>.</w:t>
            </w:r>
          </w:p>
        </w:tc>
      </w:tr>
      <w:tr w:rsidR="005C6528" w:rsidRPr="005822AC" w14:paraId="74AFB239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357C6C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F323C2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 xml:space="preserve">Aumentare la consapevolezza nei cittadini del ruolo di Natura 2000 e dei comportamenti da tenere in base alle indicazioni del </w:t>
            </w:r>
            <w:proofErr w:type="spellStart"/>
            <w:r w:rsidRPr="005822AC">
              <w:rPr>
                <w:rFonts w:cs="Arial"/>
                <w:sz w:val="18"/>
                <w:szCs w:val="18"/>
              </w:rPr>
              <w:t>PdG</w:t>
            </w:r>
            <w:proofErr w:type="spellEnd"/>
          </w:p>
        </w:tc>
      </w:tr>
      <w:tr w:rsidR="005C6528" w:rsidRPr="005822AC" w14:paraId="29D7C030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553284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FA488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=</w:t>
            </w:r>
          </w:p>
        </w:tc>
      </w:tr>
      <w:tr w:rsidR="005C6528" w:rsidRPr="005822AC" w14:paraId="56BF5618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8FDC0F6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b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E08E49" w14:textId="52689B41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Ente gestore</w:t>
            </w:r>
            <w:r w:rsidR="003E2FE3">
              <w:rPr>
                <w:rFonts w:cs="Arial"/>
                <w:sz w:val="18"/>
                <w:szCs w:val="18"/>
              </w:rPr>
              <w:t>/CEA</w:t>
            </w:r>
            <w:r w:rsidRPr="005822AC">
              <w:rPr>
                <w:rFonts w:cs="Arial"/>
                <w:sz w:val="18"/>
                <w:szCs w:val="18"/>
              </w:rPr>
              <w:t xml:space="preserve"> - Associazioni </w:t>
            </w:r>
          </w:p>
        </w:tc>
      </w:tr>
      <w:tr w:rsidR="005C6528" w:rsidRPr="005822AC" w14:paraId="032F119F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556ACD1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307616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Alta</w:t>
            </w:r>
          </w:p>
        </w:tc>
      </w:tr>
      <w:tr w:rsidR="005C6528" w:rsidRPr="005822AC" w14:paraId="247F7313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C3BC41" w14:textId="77777777" w:rsidR="005C6528" w:rsidRPr="00D75F55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75F55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19EBFF" w14:textId="265B4ACE" w:rsidR="005C6528" w:rsidRPr="00D75F55" w:rsidRDefault="005C6528" w:rsidP="003921EE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75F55">
              <w:rPr>
                <w:rFonts w:cs="Arial"/>
                <w:sz w:val="18"/>
                <w:szCs w:val="18"/>
              </w:rPr>
              <w:t>Da avviare entro 3 anni Costo: 1</w:t>
            </w:r>
            <w:r w:rsidR="00D75F55" w:rsidRPr="00D75F55">
              <w:rPr>
                <w:rFonts w:cs="Arial"/>
                <w:sz w:val="18"/>
                <w:szCs w:val="18"/>
              </w:rPr>
              <w:t>5</w:t>
            </w:r>
            <w:r w:rsidRPr="00D75F55">
              <w:rPr>
                <w:rFonts w:cs="Arial"/>
                <w:sz w:val="18"/>
                <w:szCs w:val="18"/>
              </w:rPr>
              <w:t>.000</w:t>
            </w:r>
            <w:r w:rsidR="008F401B">
              <w:rPr>
                <w:rFonts w:cs="Arial"/>
                <w:sz w:val="18"/>
                <w:szCs w:val="18"/>
              </w:rPr>
              <w:t xml:space="preserve"> all’anno</w:t>
            </w:r>
            <w:r w:rsidRPr="00D75F55">
              <w:rPr>
                <w:rFonts w:cs="Arial"/>
                <w:sz w:val="18"/>
                <w:szCs w:val="18"/>
              </w:rPr>
              <w:t xml:space="preserve"> €</w:t>
            </w:r>
          </w:p>
        </w:tc>
      </w:tr>
      <w:tr w:rsidR="005C6528" w:rsidRPr="005822AC" w14:paraId="539EC2B7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86E66C9" w14:textId="77777777" w:rsidR="005C6528" w:rsidRPr="00D75F55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75F55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6A006A" w14:textId="77777777" w:rsidR="005C6528" w:rsidRPr="00D75F55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75F55">
              <w:rPr>
                <w:rFonts w:cs="Arial"/>
                <w:sz w:val="18"/>
                <w:szCs w:val="18"/>
              </w:rPr>
              <w:t>PAF 2021-2027 - FESR</w:t>
            </w:r>
          </w:p>
        </w:tc>
      </w:tr>
      <w:tr w:rsidR="005C6528" w:rsidRPr="005822AC" w14:paraId="7D1E1292" w14:textId="77777777" w:rsidTr="003921EE">
        <w:trPr>
          <w:cantSplit/>
          <w:trHeight w:val="284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A0C904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3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4C4C76" w14:textId="77777777" w:rsidR="005C6528" w:rsidRPr="005822AC" w:rsidRDefault="005C6528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5822AC">
              <w:rPr>
                <w:rFonts w:cs="Arial"/>
                <w:sz w:val="18"/>
                <w:szCs w:val="18"/>
              </w:rPr>
              <w:t>=</w:t>
            </w:r>
          </w:p>
        </w:tc>
      </w:tr>
    </w:tbl>
    <w:p w14:paraId="6756731D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24680"/>
    <w:multiLevelType w:val="hybridMultilevel"/>
    <w:tmpl w:val="D638CB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B439B7"/>
    <w:multiLevelType w:val="hybridMultilevel"/>
    <w:tmpl w:val="D514ED58"/>
    <w:lvl w:ilvl="0" w:tplc="8D8005F4">
      <w:start w:val="1"/>
      <w:numFmt w:val="decimal"/>
      <w:suff w:val="space"/>
      <w:lvlText w:val="Azione %1."/>
      <w:lvlJc w:val="center"/>
      <w:pPr>
        <w:ind w:left="144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2D575B6"/>
    <w:multiLevelType w:val="hybridMultilevel"/>
    <w:tmpl w:val="5C20A51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3"/>
  </w:num>
  <w:num w:numId="2" w16cid:durableId="1671060808">
    <w:abstractNumId w:val="3"/>
  </w:num>
  <w:num w:numId="3" w16cid:durableId="893321344">
    <w:abstractNumId w:val="1"/>
  </w:num>
  <w:num w:numId="4" w16cid:durableId="1238520592">
    <w:abstractNumId w:val="2"/>
  </w:num>
  <w:num w:numId="5" w16cid:durableId="531193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5B2"/>
    <w:rsid w:val="00015430"/>
    <w:rsid w:val="002430B7"/>
    <w:rsid w:val="002764C6"/>
    <w:rsid w:val="0031709A"/>
    <w:rsid w:val="003E2FE3"/>
    <w:rsid w:val="004C2B4D"/>
    <w:rsid w:val="004F70B0"/>
    <w:rsid w:val="005C6528"/>
    <w:rsid w:val="005F75B2"/>
    <w:rsid w:val="00726991"/>
    <w:rsid w:val="008F401B"/>
    <w:rsid w:val="00AF12CF"/>
    <w:rsid w:val="00B16EF6"/>
    <w:rsid w:val="00D7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BBBB6"/>
  <w15:chartTrackingRefBased/>
  <w15:docId w15:val="{8C1B8CB9-23B1-4454-B361-4BF9262F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528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75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F75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F75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75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F75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F75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F75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F75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75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F75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F75B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75B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5B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5B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5B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5B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F75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F75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F75B2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F75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F75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F75B2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5F75B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F75B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F75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F75B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F75B2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5C6528"/>
  </w:style>
  <w:style w:type="paragraph" w:styleId="Revisione">
    <w:name w:val="Revision"/>
    <w:hidden/>
    <w:uiPriority w:val="99"/>
    <w:semiHidden/>
    <w:rsid w:val="0031709A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7</cp:revision>
  <dcterms:created xsi:type="dcterms:W3CDTF">2024-03-26T08:48:00Z</dcterms:created>
  <dcterms:modified xsi:type="dcterms:W3CDTF">2024-08-20T15:38:00Z</dcterms:modified>
</cp:coreProperties>
</file>