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03" w:type="dxa"/>
        <w:tblInd w:w="-3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26"/>
        <w:gridCol w:w="2606"/>
        <w:gridCol w:w="1083"/>
        <w:gridCol w:w="1266"/>
        <w:gridCol w:w="2422"/>
      </w:tblGrid>
      <w:tr w:rsidR="00513CBE" w:rsidRPr="00AB384D" w14:paraId="4A5C1C1F" w14:textId="77777777" w:rsidTr="00E560EC">
        <w:trPr>
          <w:cantSplit/>
          <w:trHeight w:val="284"/>
        </w:trPr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B2A1C7"/>
            <w:vAlign w:val="center"/>
          </w:tcPr>
          <w:p w14:paraId="7E0A0393" w14:textId="77777777" w:rsidR="00513CBE" w:rsidRPr="00AB384D" w:rsidRDefault="00513CBE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Scheda</w:t>
            </w:r>
          </w:p>
          <w:p w14:paraId="61380906" w14:textId="77777777" w:rsidR="00513CBE" w:rsidRPr="00AB384D" w:rsidRDefault="00513CBE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DBF174D" w14:textId="77777777" w:rsidR="00513CBE" w:rsidRPr="00AB384D" w:rsidRDefault="00513CBE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Codice del ZSC/ZPS</w:t>
            </w:r>
          </w:p>
        </w:tc>
        <w:tc>
          <w:tcPr>
            <w:tcW w:w="47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/>
            <w:vAlign w:val="center"/>
          </w:tcPr>
          <w:p w14:paraId="66EDC2EE" w14:textId="339A1226" w:rsidR="00513CBE" w:rsidRPr="00AB384D" w:rsidRDefault="00513CBE" w:rsidP="003921E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513CBE" w:rsidRPr="00AB384D" w14:paraId="4EEEBB6C" w14:textId="77777777" w:rsidTr="00E560EC">
        <w:trPr>
          <w:cantSplit/>
          <w:trHeight w:val="284"/>
        </w:trPr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B2A1C7"/>
            <w:vAlign w:val="center"/>
          </w:tcPr>
          <w:p w14:paraId="4AAFAE2C" w14:textId="77777777" w:rsidR="00513CBE" w:rsidRPr="00AB384D" w:rsidRDefault="00513CBE" w:rsidP="003921E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0B9B0D0" w14:textId="77777777" w:rsidR="00513CBE" w:rsidRPr="00AB384D" w:rsidRDefault="00513CBE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Nome del ZSC/ZPS</w:t>
            </w:r>
          </w:p>
        </w:tc>
        <w:tc>
          <w:tcPr>
            <w:tcW w:w="47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/>
            <w:vAlign w:val="center"/>
          </w:tcPr>
          <w:p w14:paraId="7EC10BCD" w14:textId="38B704DC" w:rsidR="00513CBE" w:rsidRPr="00AB384D" w:rsidRDefault="00513CBE" w:rsidP="003921E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513CBE" w:rsidRPr="00AB384D" w14:paraId="7529AB02" w14:textId="77777777" w:rsidTr="00E560EC">
        <w:trPr>
          <w:cantSplit/>
          <w:trHeight w:val="284"/>
        </w:trPr>
        <w:tc>
          <w:tcPr>
            <w:tcW w:w="2126" w:type="dxa"/>
            <w:vMerge w:val="restart"/>
            <w:tcBorders>
              <w:left w:val="single" w:sz="6" w:space="0" w:color="000000"/>
            </w:tcBorders>
            <w:shd w:val="clear" w:color="auto" w:fill="B2A1C7"/>
            <w:vAlign w:val="center"/>
          </w:tcPr>
          <w:p w14:paraId="3798F321" w14:textId="77777777" w:rsidR="00513CBE" w:rsidRPr="00AB384D" w:rsidRDefault="00513CBE" w:rsidP="00513CBE">
            <w:pPr>
              <w:widowControl w:val="0"/>
              <w:suppressAutoHyphens/>
              <w:snapToGrid w:val="0"/>
              <w:spacing w:after="0" w:line="240" w:lineRule="auto"/>
              <w:ind w:left="1080"/>
              <w:contextualSpacing/>
              <w:jc w:val="center"/>
              <w:rPr>
                <w:rFonts w:ascii="Arial" w:eastAsia="Arial Unicode MS" w:hAnsi="Arial" w:cs="Arial"/>
                <w:b/>
                <w:i/>
                <w:kern w:val="1"/>
                <w:sz w:val="18"/>
                <w:szCs w:val="18"/>
                <w14:ligatures w14:val="none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1B40B1D" w14:textId="77777777" w:rsidR="00513CBE" w:rsidRPr="00AB384D" w:rsidRDefault="00513CBE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Titolo dell’azione</w:t>
            </w:r>
          </w:p>
        </w:tc>
        <w:tc>
          <w:tcPr>
            <w:tcW w:w="47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6F0BEF" w14:textId="2AE26268" w:rsidR="00513CBE" w:rsidRPr="00AB384D" w:rsidRDefault="00513CBE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513CBE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Monitoraggio dell'impatto sugli habitat del pascolo di capre inselvatichite</w:t>
            </w:r>
          </w:p>
        </w:tc>
      </w:tr>
      <w:tr w:rsidR="00513CBE" w:rsidRPr="00AB384D" w14:paraId="0D081F17" w14:textId="77777777" w:rsidTr="00E560EC">
        <w:trPr>
          <w:cantSplit/>
          <w:trHeight w:val="284"/>
        </w:trPr>
        <w:tc>
          <w:tcPr>
            <w:tcW w:w="2126" w:type="dxa"/>
            <w:vMerge/>
            <w:tcBorders>
              <w:left w:val="single" w:sz="6" w:space="0" w:color="000000"/>
            </w:tcBorders>
            <w:shd w:val="clear" w:color="auto" w:fill="B2A1C7"/>
            <w:vAlign w:val="center"/>
          </w:tcPr>
          <w:p w14:paraId="5A926E1A" w14:textId="77777777" w:rsidR="00513CBE" w:rsidRPr="00AB384D" w:rsidRDefault="00513CBE" w:rsidP="003921E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E96B762" w14:textId="79702B39" w:rsidR="00513CBE" w:rsidRPr="00AB384D" w:rsidRDefault="00E738A7" w:rsidP="003921EE">
            <w:pPr>
              <w:tabs>
                <w:tab w:val="left" w:pos="355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="00513CBE"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ordinaria</w:t>
            </w:r>
          </w:p>
          <w:p w14:paraId="3705FF92" w14:textId="2B4BFFB4" w:rsidR="00513CBE" w:rsidRPr="00AB384D" w:rsidRDefault="00E738A7" w:rsidP="003921EE">
            <w:pPr>
              <w:tabs>
                <w:tab w:val="left" w:pos="355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X </w:t>
            </w:r>
            <w:r w:rsidR="00513CBE"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straordinaria</w:t>
            </w:r>
          </w:p>
        </w:tc>
        <w:tc>
          <w:tcPr>
            <w:tcW w:w="23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C2A5D20" w14:textId="600CBC21" w:rsidR="00513CBE" w:rsidRPr="00AB384D" w:rsidRDefault="00513CBE" w:rsidP="003921EE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generale</w:t>
            </w:r>
          </w:p>
          <w:p w14:paraId="004393B5" w14:textId="126B902B" w:rsidR="00513CBE" w:rsidRPr="00AB384D" w:rsidRDefault="00513CBE" w:rsidP="003921EE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localizzata</w:t>
            </w:r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863CA1" w14:textId="77777777" w:rsidR="00513CBE" w:rsidRPr="00AB384D" w:rsidRDefault="00513CBE" w:rsidP="003921EE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materiale</w:t>
            </w:r>
          </w:p>
          <w:p w14:paraId="27D0B6F8" w14:textId="77777777" w:rsidR="00513CBE" w:rsidRPr="00AB384D" w:rsidRDefault="00513CBE" w:rsidP="003921EE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ab/>
              <w:t>Azione immateriale</w:t>
            </w:r>
          </w:p>
        </w:tc>
      </w:tr>
      <w:tr w:rsidR="00513CBE" w:rsidRPr="00AB384D" w14:paraId="08400BF0" w14:textId="77777777" w:rsidTr="00E560EC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B9D646A" w14:textId="77777777" w:rsidR="00513CBE" w:rsidRPr="00AB384D" w:rsidRDefault="00513CBE" w:rsidP="003921EE">
            <w:pPr>
              <w:spacing w:after="0" w:line="240" w:lineRule="auto"/>
              <w:jc w:val="center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Tipo azione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21ECAF" w14:textId="77777777" w:rsidR="00513CBE" w:rsidRPr="00AB384D" w:rsidRDefault="00513CBE" w:rsidP="003921EE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intervento attivo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IA)</w:t>
            </w:r>
          </w:p>
          <w:p w14:paraId="2081B591" w14:textId="77777777" w:rsidR="00513CBE" w:rsidRPr="00AB384D" w:rsidRDefault="00513CBE" w:rsidP="003921EE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regolamentazione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RE)</w:t>
            </w:r>
          </w:p>
          <w:p w14:paraId="2B1F33CC" w14:textId="77777777" w:rsidR="00513CBE" w:rsidRPr="00AB384D" w:rsidRDefault="00513CBE" w:rsidP="003921EE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incentivazione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IN)</w:t>
            </w:r>
          </w:p>
          <w:p w14:paraId="6712F4D2" w14:textId="77777777" w:rsidR="00513CBE" w:rsidRPr="00AB384D" w:rsidRDefault="00513CBE" w:rsidP="003921EE">
            <w:pPr>
              <w:spacing w:after="0" w:line="240" w:lineRule="auto"/>
              <w:jc w:val="both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X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programma di monitoraggio e/o ricerca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MR)</w:t>
            </w:r>
          </w:p>
          <w:p w14:paraId="5D4702B7" w14:textId="77777777" w:rsidR="00513CBE" w:rsidRPr="00AB384D" w:rsidRDefault="00513CBE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</w:t>
            </w:r>
            <w:r w:rsidRPr="00AB384D">
              <w:rPr>
                <w:rFonts w:ascii="Arial" w:eastAsia="Liberation Serif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Pr="00AB384D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programma di educazione e di informazione (</w:t>
            </w: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PD)</w:t>
            </w:r>
          </w:p>
        </w:tc>
      </w:tr>
      <w:tr w:rsidR="00513CBE" w:rsidRPr="00AB384D" w14:paraId="0357F5D7" w14:textId="77777777" w:rsidTr="00E560EC">
        <w:trPr>
          <w:cantSplit/>
          <w:trHeight w:val="284"/>
        </w:trPr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1C16A76B" w14:textId="77777777" w:rsidR="00513CBE" w:rsidRPr="00AB384D" w:rsidRDefault="00513CBE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Target</w:t>
            </w:r>
          </w:p>
        </w:tc>
        <w:tc>
          <w:tcPr>
            <w:tcW w:w="3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217450" w14:textId="77777777" w:rsidR="00513CBE" w:rsidRPr="00AB384D" w:rsidRDefault="00513CBE" w:rsidP="003921EE">
            <w:pPr>
              <w:spacing w:after="0" w:line="240" w:lineRule="auto"/>
              <w:jc w:val="both"/>
              <w:rPr>
                <w:rFonts w:ascii="Arial" w:eastAsia="Wingdings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  <w:t>Habitat</w:t>
            </w:r>
          </w:p>
        </w:tc>
        <w:tc>
          <w:tcPr>
            <w:tcW w:w="3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77DCA2" w14:textId="77777777" w:rsidR="00513CBE" w:rsidRPr="00AB384D" w:rsidRDefault="00513CBE" w:rsidP="003921EE">
            <w:pPr>
              <w:spacing w:after="0" w:line="240" w:lineRule="auto"/>
              <w:jc w:val="both"/>
              <w:rPr>
                <w:rFonts w:ascii="Arial" w:eastAsia="Wingdings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Wingdings" w:hAnsi="Arial" w:cs="Arial"/>
                <w:b/>
                <w:bCs/>
                <w:kern w:val="0"/>
                <w:sz w:val="18"/>
                <w:szCs w:val="18"/>
                <w:lang w:eastAsia="it-IT"/>
                <w14:ligatures w14:val="none"/>
              </w:rPr>
              <w:t>Specie</w:t>
            </w:r>
          </w:p>
        </w:tc>
      </w:tr>
      <w:tr w:rsidR="00513CBE" w:rsidRPr="00AB384D" w14:paraId="04C73538" w14:textId="77777777" w:rsidTr="00E560EC">
        <w:trPr>
          <w:cantSplit/>
          <w:trHeight w:val="284"/>
        </w:trPr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07EFB6A" w14:textId="77777777" w:rsidR="00513CBE" w:rsidRPr="00AB384D" w:rsidRDefault="00513CBE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3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69F21A" w14:textId="1B9459A0" w:rsidR="00513CBE" w:rsidRPr="00AB384D" w:rsidRDefault="00E738A7" w:rsidP="00E738A7">
            <w:pPr>
              <w:spacing w:after="0" w:line="240" w:lineRule="auto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E738A7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5320</w:t>
            </w:r>
            <w:r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, </w:t>
            </w:r>
            <w:r w:rsidRPr="00E738A7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5330</w:t>
            </w:r>
            <w:r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, </w:t>
            </w:r>
            <w:r w:rsidRPr="00E738A7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6210*</w:t>
            </w:r>
            <w:r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, </w:t>
            </w:r>
            <w:r w:rsidRPr="00E738A7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6220*</w:t>
            </w:r>
            <w:r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, </w:t>
            </w:r>
            <w:r w:rsidRPr="00E738A7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91AA*</w:t>
            </w:r>
            <w:r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, </w:t>
            </w:r>
            <w:r w:rsidRPr="00E738A7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9340</w:t>
            </w:r>
          </w:p>
        </w:tc>
        <w:tc>
          <w:tcPr>
            <w:tcW w:w="3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800833" w14:textId="277B1F3B" w:rsidR="00513CBE" w:rsidRPr="00AB384D" w:rsidRDefault="00513CBE" w:rsidP="003921EE">
            <w:pPr>
              <w:spacing w:after="0" w:line="240" w:lineRule="auto"/>
              <w:jc w:val="center"/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  <w:tr w:rsidR="00513CBE" w:rsidRPr="00AB384D" w14:paraId="0D6A42B6" w14:textId="77777777" w:rsidTr="00E560EC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69514AA8" w14:textId="77777777" w:rsidR="00513CBE" w:rsidRPr="00AB384D" w:rsidRDefault="00513CBE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Pressioni/Minacce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EAA1165" w14:textId="2948C23F" w:rsidR="00513CBE" w:rsidRPr="00AB384D" w:rsidRDefault="00513CBE" w:rsidP="00513CBE">
            <w:pPr>
              <w:spacing w:after="0" w:line="240" w:lineRule="auto"/>
              <w:rPr>
                <w:rFonts w:ascii="Arial" w:eastAsia="Times New Roman" w:hAnsi="Arial" w:cs="Arial"/>
                <w:noProof/>
                <w:kern w:val="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kern w:val="0"/>
                <w:sz w:val="18"/>
                <w:szCs w:val="18"/>
                <w:lang w:eastAsia="it-IT"/>
              </w:rPr>
              <w:t>PI03</w:t>
            </w:r>
          </w:p>
        </w:tc>
      </w:tr>
      <w:tr w:rsidR="00513CBE" w:rsidRPr="00AB384D" w14:paraId="6739F946" w14:textId="77777777" w:rsidTr="00E560EC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408DECB3" w14:textId="77777777" w:rsidR="00513CBE" w:rsidRPr="00AB384D" w:rsidRDefault="00513CBE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Localizzazione ed eventuale stralcio cartografico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FBE6BCA" w14:textId="369DFC98" w:rsidR="00513CBE" w:rsidRPr="00AB384D" w:rsidRDefault="003D78EC" w:rsidP="00513CB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Superfici degli habitat target (vedi </w:t>
            </w:r>
            <w:r w:rsidR="007E42F6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Carta degli </w:t>
            </w:r>
            <w:r w:rsidR="00E738A7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Habitat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)</w:t>
            </w:r>
          </w:p>
        </w:tc>
      </w:tr>
      <w:tr w:rsidR="00513CBE" w:rsidRPr="00AB384D" w14:paraId="043A0D56" w14:textId="77777777" w:rsidTr="00E560EC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361CEAEA" w14:textId="77777777" w:rsidR="00513CBE" w:rsidRPr="00AB384D" w:rsidRDefault="00513CBE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Descrizione dello stato attuale e contestualizzazione dell’azione nel Piano di gestione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E6CEFD9" w14:textId="0E27692F" w:rsidR="00513CBE" w:rsidRPr="00AB384D" w:rsidRDefault="00981829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È stata riscontrata la presenza</w:t>
            </w:r>
            <w:r w:rsidR="004B4447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, ormai da alcuni anni</w:t>
            </w:r>
            <w:r w:rsidR="00E71A5A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,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di </w:t>
            </w:r>
            <w:r w:rsidR="004B4447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diversi </w:t>
            </w:r>
            <w:r w:rsidR="007E42F6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individui</w:t>
            </w:r>
            <w:r w:rsidR="003411AC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di capre inselvatichite</w:t>
            </w:r>
            <w:r w:rsidR="004B4447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in graduale aumento, nella zona della falesia calcarea sopra La Vela</w:t>
            </w:r>
            <w:r w:rsidR="00C11E37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,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</w:t>
            </w:r>
            <w:r w:rsidR="007E42F6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la cui 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attività di foraggiamento </w:t>
            </w:r>
            <w:r w:rsidR="00C11E37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potrebbe </w:t>
            </w:r>
            <w:r w:rsidR="00C11E37" w:rsidRPr="00C11E37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determinare un impatto sulla copertura di habitat </w:t>
            </w:r>
            <w:r w:rsidR="004B4447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erbacei e </w:t>
            </w:r>
            <w:r w:rsidR="00C11E37" w:rsidRPr="00C11E37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arbustivi e prativi, compreso il sottobosco delle formazioni boschive</w:t>
            </w:r>
            <w:r w:rsidR="007E42F6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riferibili agli habitat target.</w:t>
            </w:r>
          </w:p>
        </w:tc>
      </w:tr>
      <w:tr w:rsidR="00513CBE" w:rsidRPr="00AB384D" w14:paraId="234EA19F" w14:textId="77777777" w:rsidTr="00E560EC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21E43E1" w14:textId="77777777" w:rsidR="00513CBE" w:rsidRPr="00AB384D" w:rsidRDefault="00513CBE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Indicatori di stato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E1EEBF4" w14:textId="15FF61E8" w:rsidR="00513CBE" w:rsidRPr="00AB384D" w:rsidRDefault="00981829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981829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Attuazione del monitoraggio</w:t>
            </w:r>
          </w:p>
        </w:tc>
      </w:tr>
      <w:tr w:rsidR="00513CBE" w:rsidRPr="00AB384D" w14:paraId="0DE99722" w14:textId="77777777" w:rsidTr="00E560EC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A9B0A29" w14:textId="77777777" w:rsidR="00513CBE" w:rsidRPr="00AB384D" w:rsidRDefault="00513CBE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Finalità dell’azione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E17F9D" w14:textId="2F48EDE9" w:rsidR="00513CBE" w:rsidRPr="00AB384D" w:rsidRDefault="00981829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Verificare l’</w:t>
            </w:r>
            <w:r w:rsidR="00E560EC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alterazione 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degli </w:t>
            </w:r>
            <w:r w:rsidR="00E560EC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habitat </w:t>
            </w:r>
            <w:r w:rsidR="00C11E37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comunitari che possono risultare coinvolti dall’attività di pascolo</w:t>
            </w:r>
          </w:p>
        </w:tc>
      </w:tr>
      <w:tr w:rsidR="00513CBE" w:rsidRPr="00AB384D" w14:paraId="0C005317" w14:textId="77777777" w:rsidTr="00E560EC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557B8CF" w14:textId="77777777" w:rsidR="00513CBE" w:rsidRPr="00AB384D" w:rsidRDefault="00513CBE" w:rsidP="003921E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Descrizione dell’azione e programma operativo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59C5A7" w14:textId="339351FA" w:rsidR="00513CBE" w:rsidRPr="00AB384D" w:rsidRDefault="00981829" w:rsidP="00981829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21F23">
              <w:rPr>
                <w:rFonts w:cs="Arial"/>
                <w:sz w:val="18"/>
                <w:szCs w:val="18"/>
              </w:rPr>
              <w:t>M</w:t>
            </w:r>
            <w:r w:rsidRPr="00981829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onitoraggio </w:t>
            </w:r>
            <w:r w:rsidR="00C11E37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dell’impatto e del suo livello di significatività sugli </w:t>
            </w:r>
            <w:r w:rsidRPr="00981829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habitat </w:t>
            </w:r>
            <w:r w:rsidR="00C11E37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comunitari (</w:t>
            </w:r>
            <w:r w:rsidR="00C11E37" w:rsidRPr="00E738A7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5320</w:t>
            </w:r>
            <w:r w:rsidR="00C11E37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, </w:t>
            </w:r>
            <w:r w:rsidR="00C11E37" w:rsidRPr="00E738A7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5330</w:t>
            </w:r>
            <w:r w:rsidR="00C11E37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, </w:t>
            </w:r>
            <w:r w:rsidR="00C11E37" w:rsidRPr="00E738A7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6210*</w:t>
            </w:r>
            <w:r w:rsidR="00C11E37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, </w:t>
            </w:r>
            <w:r w:rsidR="00C11E37" w:rsidRPr="00E738A7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6220*</w:t>
            </w:r>
            <w:r w:rsidR="00C11E37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, </w:t>
            </w:r>
            <w:r w:rsidR="00C11E37" w:rsidRPr="00E738A7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91AA*</w:t>
            </w:r>
            <w:r w:rsidR="00C11E37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, </w:t>
            </w:r>
            <w:r w:rsidR="00C11E37" w:rsidRPr="00E738A7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9340</w:t>
            </w:r>
            <w:r w:rsidR="00C11E37">
              <w:rPr>
                <w:rFonts w:ascii="Arial" w:eastAsia="Wingdings" w:hAnsi="Arial" w:cs="Arial"/>
                <w:kern w:val="0"/>
                <w:sz w:val="18"/>
                <w:szCs w:val="18"/>
                <w:lang w:eastAsia="it-IT"/>
                <w14:ligatures w14:val="none"/>
              </w:rPr>
              <w:t>) determinato da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ll</w:t>
            </w:r>
            <w:r w:rsidRPr="00981829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’attività 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di alimentazione delle capre, al fine di </w:t>
            </w:r>
            <w:r w:rsidR="00C11E37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individuare 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eventuali misure specifiche di contenimento.</w:t>
            </w:r>
            <w:r w:rsidR="00C101E4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Per le zone inaccessibili </w:t>
            </w:r>
            <w:r w:rsidR="00C34840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si potrà procedere mediante l</w:t>
            </w:r>
            <w:r w:rsidR="003411AC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’</w:t>
            </w:r>
            <w:r w:rsidR="00C34840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utilizzo di </w:t>
            </w:r>
            <w:r w:rsidR="00C101E4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drone</w:t>
            </w:r>
            <w:r w:rsidR="00146323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, al</w:t>
            </w:r>
            <w:r w:rsidR="00C34840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 di fuori del periodo compreso tra il 30 settembre e il </w:t>
            </w:r>
            <w:proofErr w:type="gramStart"/>
            <w:r w:rsidR="00C34840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1 luglio</w:t>
            </w:r>
            <w:proofErr w:type="gramEnd"/>
            <w:r w:rsidR="00C34840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.</w:t>
            </w:r>
          </w:p>
        </w:tc>
      </w:tr>
      <w:tr w:rsidR="00513CBE" w:rsidRPr="00AB384D" w14:paraId="55FBD0D1" w14:textId="77777777" w:rsidTr="00E560EC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3804E69" w14:textId="77777777" w:rsidR="00513CBE" w:rsidRPr="00AB384D" w:rsidRDefault="00513CBE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Descrizione dei risultati attesi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4CB655" w14:textId="5B629453" w:rsidR="00513CBE" w:rsidRPr="007E42F6" w:rsidRDefault="00E560EC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E42F6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Miglioramento/mantenimento del grado di conservazione degli habitat target</w:t>
            </w:r>
          </w:p>
        </w:tc>
      </w:tr>
      <w:tr w:rsidR="00513CBE" w:rsidRPr="00AB384D" w14:paraId="6E45D303" w14:textId="77777777" w:rsidTr="00E560EC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886B82B" w14:textId="77777777" w:rsidR="00513CBE" w:rsidRPr="00AB384D" w:rsidRDefault="00513CBE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Interessi economici coinvolti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542616" w14:textId="77777777" w:rsidR="00513CBE" w:rsidRPr="007E42F6" w:rsidRDefault="00513CBE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E42F6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=</w:t>
            </w:r>
          </w:p>
        </w:tc>
      </w:tr>
      <w:tr w:rsidR="00513CBE" w:rsidRPr="00AB384D" w14:paraId="777CD80B" w14:textId="77777777" w:rsidTr="00E560EC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27A971F" w14:textId="77777777" w:rsidR="00513CBE" w:rsidRPr="00AB384D" w:rsidRDefault="00513CBE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Soggetti attuatori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40463FE" w14:textId="5B545F91" w:rsidR="00513CBE" w:rsidRPr="007E42F6" w:rsidRDefault="00513CBE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E42F6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 xml:space="preserve">Ente gestore </w:t>
            </w:r>
          </w:p>
        </w:tc>
      </w:tr>
      <w:tr w:rsidR="00513CBE" w:rsidRPr="00AB384D" w14:paraId="13544081" w14:textId="77777777" w:rsidTr="00E560EC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0B7916DC" w14:textId="77777777" w:rsidR="00513CBE" w:rsidRPr="00AB384D" w:rsidRDefault="00513CBE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Priorità dell’azione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F6EA8F3" w14:textId="7CDC4C14" w:rsidR="00513CBE" w:rsidRPr="007E42F6" w:rsidRDefault="00C11E37" w:rsidP="003921E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E42F6"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  <w:t>Media</w:t>
            </w:r>
          </w:p>
        </w:tc>
      </w:tr>
      <w:tr w:rsidR="00C11E37" w:rsidRPr="00AB384D" w14:paraId="37CF98C2" w14:textId="77777777" w:rsidTr="00E560EC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23B609E" w14:textId="77777777" w:rsidR="00C11E37" w:rsidRPr="00AB384D" w:rsidRDefault="00C11E37" w:rsidP="00C11E37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Tempi e stima dei costi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F65960" w14:textId="760F5DBD" w:rsidR="00C11E37" w:rsidRPr="007E42F6" w:rsidRDefault="00C11E37" w:rsidP="00C11E37">
            <w:pPr>
              <w:tabs>
                <w:tab w:val="left" w:pos="541"/>
              </w:tabs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E42F6">
              <w:rPr>
                <w:rFonts w:ascii="Arial" w:hAnsi="Arial" w:cs="Arial"/>
                <w:sz w:val="18"/>
                <w:szCs w:val="18"/>
              </w:rPr>
              <w:t>Entro 3 anni Costo: € 6.000</w:t>
            </w:r>
          </w:p>
        </w:tc>
      </w:tr>
      <w:tr w:rsidR="00C11E37" w:rsidRPr="00AB384D" w14:paraId="7AEC7F3B" w14:textId="77777777" w:rsidTr="00E560EC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32241EFF" w14:textId="77777777" w:rsidR="00C11E37" w:rsidRPr="00AB384D" w:rsidRDefault="00C11E37" w:rsidP="00C11E37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Riferimenti programmatici e linee di finanziamento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EC5F248" w14:textId="72F22E4E" w:rsidR="00C11E37" w:rsidRPr="007E42F6" w:rsidRDefault="00C11E37" w:rsidP="00C11E37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7E42F6">
              <w:rPr>
                <w:rFonts w:ascii="Arial" w:hAnsi="Arial" w:cs="Arial"/>
                <w:sz w:val="18"/>
                <w:szCs w:val="18"/>
              </w:rPr>
              <w:t>Risorse regionali</w:t>
            </w:r>
          </w:p>
        </w:tc>
      </w:tr>
      <w:tr w:rsidR="00C11E37" w:rsidRPr="00AB384D" w14:paraId="7F316181" w14:textId="77777777" w:rsidTr="00E560EC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DD9FAC9" w14:textId="77777777" w:rsidR="00C11E37" w:rsidRPr="00AB384D" w:rsidRDefault="00C11E37" w:rsidP="00C11E37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  <w:r w:rsidRPr="00AB384D">
              <w:rPr>
                <w:rFonts w:ascii="Arial" w:eastAsia="Times New Roman" w:hAnsi="Arial" w:cs="Arial"/>
                <w:b/>
                <w:kern w:val="0"/>
                <w:sz w:val="18"/>
                <w:szCs w:val="18"/>
                <w:lang w:eastAsia="it-IT"/>
                <w14:ligatures w14:val="none"/>
              </w:rPr>
              <w:t>Riferimenti e allegati tecnici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E76D0B5" w14:textId="77777777" w:rsidR="00C11E37" w:rsidRPr="00AB384D" w:rsidRDefault="00C11E37" w:rsidP="00C11E37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</w:tr>
    </w:tbl>
    <w:p w14:paraId="2E9D12D1" w14:textId="1335A1F2" w:rsidR="002764C6" w:rsidRDefault="002764C6"/>
    <w:sectPr w:rsidR="002764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8F445A"/>
    <w:multiLevelType w:val="multilevel"/>
    <w:tmpl w:val="84066018"/>
    <w:lvl w:ilvl="0">
      <w:start w:val="1"/>
      <w:numFmt w:val="decimal"/>
      <w:lvlText w:val="%1"/>
      <w:lvlJc w:val="left"/>
      <w:pPr>
        <w:ind w:left="715" w:hanging="432"/>
      </w:pPr>
      <w:rPr>
        <w:i w:val="0"/>
        <w:iCs w:val="0"/>
        <w:sz w:val="36"/>
        <w:szCs w:val="36"/>
      </w:rPr>
    </w:lvl>
    <w:lvl w:ilvl="1">
      <w:start w:val="1"/>
      <w:numFmt w:val="decimal"/>
      <w:pStyle w:val="Titolo2"/>
      <w:lvlText w:val="%1.%2"/>
      <w:lvlJc w:val="left"/>
      <w:pPr>
        <w:ind w:left="2277" w:hanging="576"/>
      </w:pPr>
      <w:rPr>
        <w:i w:val="0"/>
        <w:iCs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2279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bCs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733C28BC"/>
    <w:multiLevelType w:val="hybridMultilevel"/>
    <w:tmpl w:val="7FAE96BC"/>
    <w:lvl w:ilvl="0" w:tplc="FFFFFFFF">
      <w:start w:val="1"/>
      <w:numFmt w:val="decimal"/>
      <w:suff w:val="space"/>
      <w:lvlText w:val="Azione %1."/>
      <w:lvlJc w:val="center"/>
      <w:pPr>
        <w:ind w:left="1440" w:hanging="360"/>
      </w:pPr>
      <w:rPr>
        <w:rFonts w:hint="default"/>
        <w:b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851799192">
    <w:abstractNumId w:val="0"/>
  </w:num>
  <w:num w:numId="2" w16cid:durableId="1671060808">
    <w:abstractNumId w:val="0"/>
  </w:num>
  <w:num w:numId="3" w16cid:durableId="18956972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CBE"/>
    <w:rsid w:val="00015A8F"/>
    <w:rsid w:val="00146323"/>
    <w:rsid w:val="002764C6"/>
    <w:rsid w:val="0029012D"/>
    <w:rsid w:val="003411AC"/>
    <w:rsid w:val="003D78EC"/>
    <w:rsid w:val="004B4447"/>
    <w:rsid w:val="004F70B0"/>
    <w:rsid w:val="00513CBE"/>
    <w:rsid w:val="005D6080"/>
    <w:rsid w:val="00726991"/>
    <w:rsid w:val="007E42F6"/>
    <w:rsid w:val="00981829"/>
    <w:rsid w:val="00B16EF6"/>
    <w:rsid w:val="00C101E4"/>
    <w:rsid w:val="00C11E37"/>
    <w:rsid w:val="00C34840"/>
    <w:rsid w:val="00E560EC"/>
    <w:rsid w:val="00E71A5A"/>
    <w:rsid w:val="00E738A7"/>
    <w:rsid w:val="00EA4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59994"/>
  <w15:chartTrackingRefBased/>
  <w15:docId w15:val="{58A8C983-14F2-423C-A7F7-24E71985E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13CBE"/>
  </w:style>
  <w:style w:type="paragraph" w:styleId="Titolo1">
    <w:name w:val="heading 1"/>
    <w:basedOn w:val="Normale"/>
    <w:next w:val="Normale"/>
    <w:link w:val="Titolo1Carattere"/>
    <w:uiPriority w:val="9"/>
    <w:qFormat/>
    <w:rsid w:val="00513C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26991"/>
    <w:pPr>
      <w:keepNext/>
      <w:keepLines/>
      <w:numPr>
        <w:ilvl w:val="1"/>
        <w:numId w:val="2"/>
      </w:numPr>
      <w:spacing w:before="80" w:after="0" w:line="240" w:lineRule="auto"/>
      <w:ind w:left="576"/>
      <w:outlineLvl w:val="1"/>
    </w:pPr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13C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13C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13C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13C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13C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13C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13C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726991"/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13C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13C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13CB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13CB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13CB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13CB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13CB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13CB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13C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13C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13C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13C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13C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13CB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513CB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513CB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13C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13CB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513CBE"/>
    <w:rPr>
      <w:b/>
      <w:bCs/>
      <w:smallCaps/>
      <w:color w:val="0F4761" w:themeColor="accent1" w:themeShade="BF"/>
      <w:spacing w:val="5"/>
    </w:rPr>
  </w:style>
  <w:style w:type="paragraph" w:styleId="Revisione">
    <w:name w:val="Revision"/>
    <w:hidden/>
    <w:uiPriority w:val="99"/>
    <w:semiHidden/>
    <w:rsid w:val="004B4447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4B444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B444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B444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444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444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1778</Characters>
  <Application>Microsoft Office Word</Application>
  <DocSecurity>0</DocSecurity>
  <Lines>14</Lines>
  <Paragraphs>4</Paragraphs>
  <ScaleCrop>false</ScaleCrop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oliva.federico</dc:creator>
  <cp:keywords/>
  <dc:description/>
  <cp:lastModifiedBy>silvia carletti</cp:lastModifiedBy>
  <cp:revision>2</cp:revision>
  <dcterms:created xsi:type="dcterms:W3CDTF">2024-08-27T11:17:00Z</dcterms:created>
  <dcterms:modified xsi:type="dcterms:W3CDTF">2024-08-27T11:17:00Z</dcterms:modified>
</cp:coreProperties>
</file>